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F9D55" w14:textId="77777777" w:rsidR="00CA3F38" w:rsidRDefault="00EE4A8C">
      <w:pPr>
        <w:pStyle w:val="a5"/>
        <w:adjustRightInd w:val="0"/>
        <w:snapToGrid w:val="0"/>
        <w:ind w:firstLineChars="0" w:firstLine="0"/>
        <w:jc w:val="center"/>
        <w:rPr>
          <w:rFonts w:ascii="仿宋" w:eastAsia="仿宋" w:hAnsi="仿宋"/>
          <w:b/>
          <w:sz w:val="44"/>
          <w:szCs w:val="44"/>
        </w:rPr>
      </w:pPr>
      <w:r>
        <w:rPr>
          <w:rFonts w:ascii="仿宋" w:eastAsia="仿宋" w:hAnsi="仿宋" w:hint="eastAsia"/>
          <w:b/>
          <w:sz w:val="44"/>
          <w:szCs w:val="44"/>
        </w:rPr>
        <w:t>报价一览表</w:t>
      </w:r>
    </w:p>
    <w:p w14:paraId="3CEDF743" w14:textId="72783AE9" w:rsidR="00CA3F38" w:rsidRDefault="00EE4A8C">
      <w:pPr>
        <w:pStyle w:val="a5"/>
        <w:spacing w:line="560" w:lineRule="exact"/>
        <w:ind w:firstLineChars="0" w:firstLine="0"/>
        <w:rPr>
          <w:rFonts w:ascii="仿宋" w:eastAsia="仿宋" w:hAnsi="仿宋"/>
          <w:sz w:val="32"/>
          <w:szCs w:val="32"/>
        </w:rPr>
      </w:pPr>
      <w:r>
        <w:rPr>
          <w:rFonts w:ascii="仿宋" w:eastAsia="仿宋" w:hAnsi="仿宋" w:hint="eastAsia"/>
          <w:sz w:val="32"/>
          <w:szCs w:val="32"/>
        </w:rPr>
        <w:t>客户名称：云南省寄生虫病防治所</w:t>
      </w:r>
      <w:r w:rsidR="00A6568D">
        <w:rPr>
          <w:rFonts w:ascii="仿宋" w:eastAsia="仿宋" w:hAnsi="仿宋" w:hint="eastAsia"/>
          <w:sz w:val="32"/>
          <w:szCs w:val="32"/>
        </w:rPr>
        <w:t xml:space="preserve">        </w:t>
      </w:r>
      <w:r>
        <w:rPr>
          <w:rFonts w:ascii="仿宋" w:eastAsia="仿宋" w:hAnsi="仿宋" w:hint="eastAsia"/>
          <w:sz w:val="32"/>
          <w:szCs w:val="32"/>
        </w:rPr>
        <w:t>项目名称：</w:t>
      </w:r>
      <w:r w:rsidR="00A6568D" w:rsidRPr="00A6568D">
        <w:rPr>
          <w:rFonts w:ascii="仿宋" w:eastAsia="仿宋" w:hAnsi="仿宋" w:hint="eastAsia"/>
          <w:sz w:val="32"/>
          <w:szCs w:val="32"/>
        </w:rPr>
        <w:t>蝙蝠及关联物种携带病毒资源调查项目试剂采购</w:t>
      </w:r>
    </w:p>
    <w:p w14:paraId="23161775" w14:textId="660D03C6" w:rsidR="00CA3F38" w:rsidRDefault="00EE4A8C">
      <w:pPr>
        <w:pStyle w:val="a5"/>
        <w:spacing w:line="560" w:lineRule="exact"/>
        <w:ind w:firstLineChars="0" w:firstLine="0"/>
        <w:rPr>
          <w:rFonts w:ascii="仿宋" w:eastAsia="仿宋" w:hAnsi="仿宋"/>
          <w:sz w:val="32"/>
          <w:szCs w:val="32"/>
        </w:rPr>
      </w:pPr>
      <w:r>
        <w:rPr>
          <w:rFonts w:ascii="仿宋" w:eastAsia="仿宋" w:hAnsi="仿宋" w:hint="eastAsia"/>
          <w:sz w:val="32"/>
          <w:szCs w:val="32"/>
        </w:rPr>
        <w:t>项目编号：寄采申（</w:t>
      </w:r>
      <w:r>
        <w:rPr>
          <w:rFonts w:ascii="仿宋" w:eastAsia="仿宋" w:hAnsi="仿宋" w:hint="eastAsia"/>
          <w:sz w:val="32"/>
          <w:szCs w:val="32"/>
        </w:rPr>
        <w:t>202</w:t>
      </w:r>
      <w:r w:rsidR="00A6568D">
        <w:rPr>
          <w:rFonts w:ascii="仿宋" w:eastAsia="仿宋" w:hAnsi="仿宋"/>
          <w:sz w:val="32"/>
          <w:szCs w:val="32"/>
        </w:rPr>
        <w:t>5</w:t>
      </w:r>
      <w:r>
        <w:rPr>
          <w:rFonts w:ascii="仿宋" w:eastAsia="仿宋" w:hAnsi="仿宋" w:hint="eastAsia"/>
          <w:sz w:val="32"/>
          <w:szCs w:val="32"/>
        </w:rPr>
        <w:t>）</w:t>
      </w:r>
      <w:r w:rsidR="00A6568D">
        <w:rPr>
          <w:rFonts w:ascii="仿宋" w:eastAsia="仿宋" w:hAnsi="仿宋"/>
          <w:sz w:val="32"/>
          <w:szCs w:val="32"/>
        </w:rPr>
        <w:t>0</w:t>
      </w:r>
      <w:r>
        <w:rPr>
          <w:rFonts w:ascii="仿宋" w:eastAsia="仿宋" w:hAnsi="仿宋" w:hint="eastAsia"/>
          <w:sz w:val="32"/>
          <w:szCs w:val="32"/>
        </w:rPr>
        <w:t>04</w:t>
      </w:r>
      <w:r>
        <w:rPr>
          <w:rFonts w:ascii="仿宋" w:eastAsia="仿宋" w:hAnsi="仿宋" w:hint="eastAsia"/>
          <w:sz w:val="32"/>
          <w:szCs w:val="32"/>
        </w:rPr>
        <w:t>号</w:t>
      </w:r>
    </w:p>
    <w:tbl>
      <w:tblPr>
        <w:tblpPr w:leftFromText="180" w:rightFromText="180" w:vertAnchor="text" w:horzAnchor="page" w:tblpX="1151" w:tblpY="4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375"/>
        <w:gridCol w:w="6013"/>
        <w:gridCol w:w="730"/>
        <w:gridCol w:w="998"/>
        <w:gridCol w:w="1281"/>
        <w:gridCol w:w="1098"/>
        <w:gridCol w:w="1114"/>
      </w:tblGrid>
      <w:tr w:rsidR="00CA3F38" w14:paraId="268745DB" w14:textId="77777777">
        <w:tc>
          <w:tcPr>
            <w:tcW w:w="864" w:type="dxa"/>
            <w:shd w:val="clear" w:color="auto" w:fill="auto"/>
            <w:vAlign w:val="center"/>
          </w:tcPr>
          <w:p w14:paraId="72D5D9F7"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序号</w:t>
            </w:r>
          </w:p>
        </w:tc>
        <w:tc>
          <w:tcPr>
            <w:tcW w:w="2375" w:type="dxa"/>
            <w:shd w:val="clear" w:color="auto" w:fill="auto"/>
            <w:vAlign w:val="center"/>
          </w:tcPr>
          <w:p w14:paraId="6C72F61D"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项目名称</w:t>
            </w:r>
          </w:p>
        </w:tc>
        <w:tc>
          <w:tcPr>
            <w:tcW w:w="6013" w:type="dxa"/>
            <w:shd w:val="clear" w:color="auto" w:fill="auto"/>
            <w:vAlign w:val="center"/>
          </w:tcPr>
          <w:p w14:paraId="02B01628"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报价规格参数</w:t>
            </w:r>
          </w:p>
        </w:tc>
        <w:tc>
          <w:tcPr>
            <w:tcW w:w="730" w:type="dxa"/>
            <w:shd w:val="clear" w:color="auto" w:fill="auto"/>
            <w:vAlign w:val="center"/>
          </w:tcPr>
          <w:p w14:paraId="45331EAB"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数量</w:t>
            </w:r>
          </w:p>
        </w:tc>
        <w:tc>
          <w:tcPr>
            <w:tcW w:w="998" w:type="dxa"/>
            <w:shd w:val="clear" w:color="auto" w:fill="auto"/>
            <w:vAlign w:val="center"/>
          </w:tcPr>
          <w:p w14:paraId="47D4FE05"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单位</w:t>
            </w:r>
          </w:p>
        </w:tc>
        <w:tc>
          <w:tcPr>
            <w:tcW w:w="1281" w:type="dxa"/>
            <w:shd w:val="clear" w:color="auto" w:fill="auto"/>
            <w:vAlign w:val="center"/>
          </w:tcPr>
          <w:p w14:paraId="127FD346"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报价品牌</w:t>
            </w:r>
          </w:p>
        </w:tc>
        <w:tc>
          <w:tcPr>
            <w:tcW w:w="1098" w:type="dxa"/>
            <w:shd w:val="clear" w:color="auto" w:fill="auto"/>
            <w:vAlign w:val="center"/>
          </w:tcPr>
          <w:p w14:paraId="51ADFF01"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单价</w:t>
            </w:r>
          </w:p>
        </w:tc>
        <w:tc>
          <w:tcPr>
            <w:tcW w:w="1114" w:type="dxa"/>
            <w:shd w:val="clear" w:color="auto" w:fill="auto"/>
            <w:vAlign w:val="center"/>
          </w:tcPr>
          <w:p w14:paraId="4547268C"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总价</w:t>
            </w:r>
          </w:p>
        </w:tc>
      </w:tr>
      <w:tr w:rsidR="00CA3F38" w14:paraId="4C5F9771" w14:textId="77777777">
        <w:trPr>
          <w:trHeight w:val="912"/>
        </w:trPr>
        <w:tc>
          <w:tcPr>
            <w:tcW w:w="864" w:type="dxa"/>
            <w:shd w:val="clear" w:color="auto" w:fill="auto"/>
            <w:vAlign w:val="center"/>
          </w:tcPr>
          <w:p w14:paraId="2F349E35" w14:textId="77777777" w:rsidR="00CA3F38" w:rsidRDefault="00EE4A8C">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p>
        </w:tc>
        <w:tc>
          <w:tcPr>
            <w:tcW w:w="2375" w:type="dxa"/>
            <w:shd w:val="clear" w:color="auto" w:fill="auto"/>
            <w:vAlign w:val="center"/>
          </w:tcPr>
          <w:p w14:paraId="13E6A7DE" w14:textId="2E3DB24D" w:rsidR="00CA3F38" w:rsidRDefault="00066456">
            <w:pPr>
              <w:widowControl/>
              <w:jc w:val="center"/>
              <w:textAlignment w:val="center"/>
              <w:rPr>
                <w:rFonts w:ascii="仿宋" w:eastAsia="仿宋" w:hAnsi="仿宋"/>
                <w:sz w:val="24"/>
                <w:szCs w:val="24"/>
              </w:rPr>
            </w:pPr>
            <w:r w:rsidRPr="00066456">
              <w:rPr>
                <w:rFonts w:ascii="仿宋" w:eastAsia="仿宋" w:hAnsi="仿宋"/>
                <w:sz w:val="24"/>
                <w:szCs w:val="24"/>
              </w:rPr>
              <w:t>QIAseq FX DNA Library UDI-A Kit (96)</w:t>
            </w:r>
          </w:p>
        </w:tc>
        <w:tc>
          <w:tcPr>
            <w:tcW w:w="6013" w:type="dxa"/>
            <w:shd w:val="clear" w:color="auto" w:fill="auto"/>
            <w:vAlign w:val="center"/>
          </w:tcPr>
          <w:p w14:paraId="6146F657" w14:textId="77777777" w:rsidR="00375D89" w:rsidRDefault="00066456">
            <w:pPr>
              <w:widowControl/>
              <w:jc w:val="left"/>
              <w:textAlignment w:val="center"/>
              <w:rPr>
                <w:rFonts w:ascii="仿宋" w:eastAsia="仿宋" w:hAnsi="仿宋"/>
                <w:sz w:val="24"/>
                <w:szCs w:val="24"/>
              </w:rPr>
            </w:pPr>
            <w:r w:rsidRPr="00066456">
              <w:rPr>
                <w:rFonts w:ascii="仿宋" w:eastAsia="仿宋" w:hAnsi="仿宋"/>
                <w:sz w:val="24"/>
                <w:szCs w:val="24"/>
              </w:rPr>
              <w:t xml:space="preserve">1、基于FX酶片段化技术的单管式DNA文库构建试剂盒， 2、96反应， </w:t>
            </w:r>
          </w:p>
          <w:p w14:paraId="1D1E9AF6" w14:textId="77777777" w:rsidR="00375D89" w:rsidRDefault="00066456">
            <w:pPr>
              <w:widowControl/>
              <w:jc w:val="left"/>
              <w:textAlignment w:val="center"/>
              <w:rPr>
                <w:rFonts w:ascii="仿宋" w:eastAsia="仿宋" w:hAnsi="仿宋"/>
                <w:sz w:val="24"/>
                <w:szCs w:val="24"/>
              </w:rPr>
            </w:pPr>
            <w:r w:rsidRPr="00066456">
              <w:rPr>
                <w:rFonts w:ascii="仿宋" w:eastAsia="仿宋" w:hAnsi="仿宋"/>
                <w:sz w:val="24"/>
                <w:szCs w:val="24"/>
              </w:rPr>
              <w:t xml:space="preserve">3、双端唯一标签 （UniqueDual Index, UDI）接头，用于基于杂交捕获的靶向测序或WGS应用，适用于20pg–1μg的宽泛起始DNA。 </w:t>
            </w:r>
          </w:p>
          <w:p w14:paraId="370A334F" w14:textId="77777777" w:rsidR="00375D89" w:rsidRDefault="00066456">
            <w:pPr>
              <w:widowControl/>
              <w:jc w:val="left"/>
              <w:textAlignment w:val="center"/>
              <w:rPr>
                <w:rFonts w:ascii="仿宋" w:eastAsia="仿宋" w:hAnsi="仿宋"/>
                <w:sz w:val="24"/>
                <w:szCs w:val="24"/>
              </w:rPr>
            </w:pPr>
            <w:r w:rsidRPr="00066456">
              <w:rPr>
                <w:rFonts w:ascii="仿宋" w:eastAsia="仿宋" w:hAnsi="仿宋"/>
                <w:sz w:val="24"/>
                <w:szCs w:val="24"/>
              </w:rPr>
              <w:t>4、可根据不同的插入片段大小灵活设置DNA片段化时间，整体操作流程快速便捷，适合自动化文库构建。</w:t>
            </w:r>
          </w:p>
          <w:p w14:paraId="20E3BD7F" w14:textId="77777777" w:rsidR="00375D89" w:rsidRDefault="00066456">
            <w:pPr>
              <w:widowControl/>
              <w:jc w:val="left"/>
              <w:textAlignment w:val="center"/>
              <w:rPr>
                <w:rFonts w:ascii="仿宋" w:eastAsia="仿宋" w:hAnsi="仿宋"/>
                <w:sz w:val="24"/>
                <w:szCs w:val="24"/>
              </w:rPr>
            </w:pPr>
            <w:r w:rsidRPr="00066456">
              <w:rPr>
                <w:rFonts w:ascii="仿宋" w:eastAsia="仿宋" w:hAnsi="仿宋"/>
                <w:sz w:val="24"/>
                <w:szCs w:val="24"/>
              </w:rPr>
              <w:t xml:space="preserve">5、优化的酶和缓冲液成分确保了测序基因文库的高产出，简单的三步反应操作流程也便于在多款移液工作站上实现基因文库构建的自动化，降低了人工操作时间和批次间差异。 </w:t>
            </w:r>
          </w:p>
          <w:p w14:paraId="159C7EAA" w14:textId="5BE9874E" w:rsidR="00CA3F38" w:rsidRDefault="00066456">
            <w:pPr>
              <w:widowControl/>
              <w:jc w:val="left"/>
              <w:textAlignment w:val="center"/>
              <w:rPr>
                <w:rFonts w:ascii="仿宋" w:eastAsia="仿宋" w:hAnsi="仿宋"/>
                <w:sz w:val="24"/>
                <w:szCs w:val="24"/>
              </w:rPr>
            </w:pPr>
            <w:r w:rsidRPr="00066456">
              <w:rPr>
                <w:rFonts w:ascii="仿宋" w:eastAsia="仿宋" w:hAnsi="仿宋"/>
                <w:sz w:val="24"/>
                <w:szCs w:val="24"/>
              </w:rPr>
              <w:t>6、到货后有效期≥15个月。</w:t>
            </w:r>
          </w:p>
        </w:tc>
        <w:tc>
          <w:tcPr>
            <w:tcW w:w="730" w:type="dxa"/>
            <w:shd w:val="clear" w:color="auto" w:fill="auto"/>
            <w:vAlign w:val="center"/>
          </w:tcPr>
          <w:p w14:paraId="040523C5" w14:textId="73D958C8" w:rsidR="00CA3F38" w:rsidRDefault="00066456">
            <w:pPr>
              <w:widowControl/>
              <w:jc w:val="center"/>
              <w:textAlignment w:val="center"/>
              <w:rPr>
                <w:rFonts w:ascii="仿宋" w:eastAsia="仿宋" w:hAnsi="仿宋"/>
                <w:sz w:val="24"/>
                <w:szCs w:val="24"/>
              </w:rPr>
            </w:pPr>
            <w:r>
              <w:rPr>
                <w:rFonts w:ascii="宋体" w:eastAsia="宋体" w:hAnsi="宋体" w:cs="宋体"/>
                <w:color w:val="000000"/>
                <w:kern w:val="0"/>
                <w:sz w:val="24"/>
                <w:szCs w:val="24"/>
                <w:lang w:bidi="ar"/>
              </w:rPr>
              <w:t>1</w:t>
            </w:r>
          </w:p>
        </w:tc>
        <w:tc>
          <w:tcPr>
            <w:tcW w:w="998" w:type="dxa"/>
            <w:shd w:val="clear" w:color="auto" w:fill="auto"/>
            <w:vAlign w:val="center"/>
          </w:tcPr>
          <w:p w14:paraId="38C9DF6C" w14:textId="6F04108F" w:rsidR="00CA3F38" w:rsidRDefault="00066456">
            <w:pPr>
              <w:widowControl/>
              <w:jc w:val="center"/>
              <w:textAlignment w:val="center"/>
              <w:rPr>
                <w:rFonts w:ascii="仿宋" w:eastAsia="仿宋" w:hAnsi="仿宋"/>
                <w:sz w:val="24"/>
                <w:szCs w:val="24"/>
              </w:rPr>
            </w:pPr>
            <w:r>
              <w:rPr>
                <w:rFonts w:ascii="宋体" w:eastAsia="宋体" w:hAnsi="宋体" w:cs="宋体" w:hint="eastAsia"/>
                <w:color w:val="000000"/>
                <w:kern w:val="0"/>
                <w:sz w:val="24"/>
                <w:szCs w:val="24"/>
                <w:lang w:bidi="ar"/>
              </w:rPr>
              <w:t>盒</w:t>
            </w:r>
          </w:p>
        </w:tc>
        <w:tc>
          <w:tcPr>
            <w:tcW w:w="1281" w:type="dxa"/>
            <w:shd w:val="clear" w:color="auto" w:fill="auto"/>
            <w:vAlign w:val="center"/>
          </w:tcPr>
          <w:p w14:paraId="64401606" w14:textId="77777777" w:rsidR="00CA3F38" w:rsidRDefault="00CA3F38">
            <w:pPr>
              <w:widowControl/>
              <w:jc w:val="center"/>
              <w:textAlignment w:val="center"/>
              <w:rPr>
                <w:rFonts w:ascii="仿宋" w:eastAsia="仿宋" w:hAnsi="仿宋"/>
                <w:sz w:val="28"/>
                <w:szCs w:val="28"/>
              </w:rPr>
            </w:pPr>
          </w:p>
        </w:tc>
        <w:tc>
          <w:tcPr>
            <w:tcW w:w="1098" w:type="dxa"/>
            <w:shd w:val="clear" w:color="auto" w:fill="auto"/>
            <w:vAlign w:val="center"/>
          </w:tcPr>
          <w:p w14:paraId="668B1885" w14:textId="77777777" w:rsidR="00CA3F38" w:rsidRDefault="00CA3F38">
            <w:pPr>
              <w:widowControl/>
              <w:jc w:val="center"/>
              <w:textAlignment w:val="center"/>
              <w:rPr>
                <w:rFonts w:ascii="仿宋" w:eastAsia="仿宋" w:hAnsi="仿宋"/>
                <w:sz w:val="28"/>
                <w:szCs w:val="28"/>
              </w:rPr>
            </w:pPr>
          </w:p>
        </w:tc>
        <w:tc>
          <w:tcPr>
            <w:tcW w:w="1114" w:type="dxa"/>
            <w:shd w:val="clear" w:color="auto" w:fill="auto"/>
            <w:vAlign w:val="center"/>
          </w:tcPr>
          <w:p w14:paraId="0814DDA4" w14:textId="77777777" w:rsidR="00CA3F38" w:rsidRDefault="00CA3F38">
            <w:pPr>
              <w:widowControl/>
              <w:jc w:val="center"/>
              <w:textAlignment w:val="center"/>
              <w:rPr>
                <w:rFonts w:ascii="仿宋" w:eastAsia="仿宋" w:hAnsi="仿宋"/>
                <w:sz w:val="28"/>
                <w:szCs w:val="28"/>
              </w:rPr>
            </w:pPr>
          </w:p>
        </w:tc>
      </w:tr>
      <w:tr w:rsidR="00A6568D" w14:paraId="35DC7BEC" w14:textId="77777777">
        <w:trPr>
          <w:trHeight w:val="912"/>
        </w:trPr>
        <w:tc>
          <w:tcPr>
            <w:tcW w:w="864" w:type="dxa"/>
            <w:shd w:val="clear" w:color="auto" w:fill="auto"/>
            <w:vAlign w:val="center"/>
          </w:tcPr>
          <w:p w14:paraId="2E1A8725" w14:textId="09FC33AA" w:rsidR="00A6568D" w:rsidRDefault="00066456">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2</w:t>
            </w:r>
          </w:p>
        </w:tc>
        <w:tc>
          <w:tcPr>
            <w:tcW w:w="2375" w:type="dxa"/>
            <w:shd w:val="clear" w:color="auto" w:fill="auto"/>
            <w:vAlign w:val="center"/>
          </w:tcPr>
          <w:p w14:paraId="4ABF6112" w14:textId="6A52296E" w:rsidR="00A6568D" w:rsidRDefault="00066456">
            <w:pPr>
              <w:widowControl/>
              <w:jc w:val="center"/>
              <w:textAlignment w:val="center"/>
              <w:rPr>
                <w:rFonts w:ascii="仿宋" w:eastAsia="仿宋" w:hAnsi="仿宋"/>
                <w:sz w:val="24"/>
                <w:szCs w:val="24"/>
              </w:rPr>
            </w:pPr>
            <w:r w:rsidRPr="00066456">
              <w:rPr>
                <w:rFonts w:ascii="仿宋" w:eastAsia="仿宋" w:hAnsi="仿宋"/>
                <w:sz w:val="24"/>
                <w:szCs w:val="24"/>
              </w:rPr>
              <w:t>QIAseq xHYB96, Box2</w:t>
            </w:r>
          </w:p>
        </w:tc>
        <w:tc>
          <w:tcPr>
            <w:tcW w:w="6013" w:type="dxa"/>
            <w:shd w:val="clear" w:color="auto" w:fill="auto"/>
            <w:vAlign w:val="center"/>
          </w:tcPr>
          <w:p w14:paraId="28F890D5" w14:textId="77777777" w:rsidR="00375D89" w:rsidRDefault="00066456">
            <w:pPr>
              <w:widowControl/>
              <w:jc w:val="left"/>
              <w:textAlignment w:val="center"/>
              <w:rPr>
                <w:rFonts w:ascii="仿宋" w:eastAsia="仿宋" w:hAnsi="仿宋"/>
                <w:sz w:val="24"/>
                <w:szCs w:val="24"/>
              </w:rPr>
            </w:pPr>
            <w:r w:rsidRPr="00066456">
              <w:rPr>
                <w:rFonts w:ascii="仿宋" w:eastAsia="仿宋" w:hAnsi="仿宋"/>
                <w:sz w:val="24"/>
                <w:szCs w:val="24"/>
              </w:rPr>
              <w:t xml:space="preserve">1、96反应/盒， </w:t>
            </w:r>
          </w:p>
          <w:p w14:paraId="38C2E88C" w14:textId="77777777" w:rsidR="00375D89" w:rsidRDefault="00066456">
            <w:pPr>
              <w:widowControl/>
              <w:jc w:val="left"/>
              <w:textAlignment w:val="center"/>
              <w:rPr>
                <w:rFonts w:ascii="仿宋" w:eastAsia="仿宋" w:hAnsi="仿宋"/>
                <w:sz w:val="24"/>
                <w:szCs w:val="24"/>
              </w:rPr>
            </w:pPr>
            <w:r w:rsidRPr="00066456">
              <w:rPr>
                <w:rFonts w:ascii="仿宋" w:eastAsia="仿宋" w:hAnsi="仿宋"/>
                <w:sz w:val="24"/>
                <w:szCs w:val="24"/>
              </w:rPr>
              <w:t>2、QIAseq xHYB对前期建库步骤进行了优化，有别于传统方法DNA与RNA需要分别建库的实验流程，实现了DNA&amp;RNA共建库，仅需10ngDNA、RNA或TNA（DNA与RNA混合核酸）起始样本，即可一个流程实现高效文库构建。 3、结合了核糖体 RNA（rRNA）去除技术，无需额外操作实现人源核酸组分的去除。</w:t>
            </w:r>
          </w:p>
          <w:p w14:paraId="4375F317" w14:textId="77777777" w:rsidR="00375D89" w:rsidRDefault="00066456">
            <w:pPr>
              <w:widowControl/>
              <w:jc w:val="left"/>
              <w:textAlignment w:val="center"/>
              <w:rPr>
                <w:rFonts w:ascii="仿宋" w:eastAsia="仿宋" w:hAnsi="仿宋"/>
                <w:sz w:val="24"/>
                <w:szCs w:val="24"/>
              </w:rPr>
            </w:pPr>
            <w:r w:rsidRPr="00066456">
              <w:rPr>
                <w:rFonts w:ascii="仿宋" w:eastAsia="仿宋" w:hAnsi="仿宋"/>
                <w:sz w:val="24"/>
                <w:szCs w:val="24"/>
              </w:rPr>
              <w:t xml:space="preserve">4、dsDNA/ssDNA/ RNA一次性构建进文库，与常规RNA建库方法相比，不会漏检DNA病毒。 </w:t>
            </w:r>
          </w:p>
          <w:p w14:paraId="36501F8F" w14:textId="77777777" w:rsidR="00375D89" w:rsidRDefault="00066456">
            <w:pPr>
              <w:widowControl/>
              <w:jc w:val="left"/>
              <w:textAlignment w:val="center"/>
              <w:rPr>
                <w:rFonts w:ascii="仿宋" w:eastAsia="仿宋" w:hAnsi="仿宋"/>
                <w:sz w:val="24"/>
                <w:szCs w:val="24"/>
              </w:rPr>
            </w:pPr>
            <w:r w:rsidRPr="00066456">
              <w:rPr>
                <w:rFonts w:ascii="仿宋" w:eastAsia="仿宋" w:hAnsi="仿宋"/>
                <w:sz w:val="24"/>
                <w:szCs w:val="24"/>
              </w:rPr>
              <w:lastRenderedPageBreak/>
              <w:t>5、搭配QIAseq FX使用，也可搭配任意建库试剂盒使用，包括illumina和MGI平台。</w:t>
            </w:r>
          </w:p>
          <w:p w14:paraId="7C4806EF" w14:textId="77777777" w:rsidR="00375D89" w:rsidRDefault="00066456">
            <w:pPr>
              <w:widowControl/>
              <w:jc w:val="left"/>
              <w:textAlignment w:val="center"/>
              <w:rPr>
                <w:rFonts w:ascii="仿宋" w:eastAsia="仿宋" w:hAnsi="仿宋"/>
                <w:sz w:val="24"/>
                <w:szCs w:val="24"/>
              </w:rPr>
            </w:pPr>
            <w:r w:rsidRPr="00066456">
              <w:rPr>
                <w:rFonts w:ascii="仿宋" w:eastAsia="仿宋" w:hAnsi="仿宋"/>
                <w:sz w:val="24"/>
                <w:szCs w:val="24"/>
              </w:rPr>
              <w:t xml:space="preserve">6、rRNA去除方案可适用于包括人、小鼠、大鼠、泛细菌在内的多种物种. </w:t>
            </w:r>
          </w:p>
          <w:p w14:paraId="2AFBC615" w14:textId="723EFD86" w:rsidR="00A6568D" w:rsidRDefault="00066456">
            <w:pPr>
              <w:widowControl/>
              <w:jc w:val="left"/>
              <w:textAlignment w:val="center"/>
              <w:rPr>
                <w:rFonts w:ascii="仿宋" w:eastAsia="仿宋" w:hAnsi="仿宋" w:hint="eastAsia"/>
                <w:sz w:val="24"/>
                <w:szCs w:val="24"/>
              </w:rPr>
            </w:pPr>
            <w:bookmarkStart w:id="0" w:name="_GoBack"/>
            <w:bookmarkEnd w:id="0"/>
            <w:r w:rsidRPr="00066456">
              <w:rPr>
                <w:rFonts w:ascii="仿宋" w:eastAsia="仿宋" w:hAnsi="仿宋"/>
                <w:sz w:val="24"/>
                <w:szCs w:val="24"/>
              </w:rPr>
              <w:t>7、到货后有效期≥15个月。</w:t>
            </w:r>
          </w:p>
        </w:tc>
        <w:tc>
          <w:tcPr>
            <w:tcW w:w="730" w:type="dxa"/>
            <w:shd w:val="clear" w:color="auto" w:fill="auto"/>
            <w:vAlign w:val="center"/>
          </w:tcPr>
          <w:p w14:paraId="17EAE59A" w14:textId="3D19DFE6" w:rsidR="00A6568D" w:rsidRDefault="00066456">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lastRenderedPageBreak/>
              <w:t>2</w:t>
            </w:r>
          </w:p>
        </w:tc>
        <w:tc>
          <w:tcPr>
            <w:tcW w:w="998" w:type="dxa"/>
            <w:shd w:val="clear" w:color="auto" w:fill="auto"/>
            <w:vAlign w:val="center"/>
          </w:tcPr>
          <w:p w14:paraId="297713D9" w14:textId="24AF50A6" w:rsidR="00A6568D" w:rsidRDefault="00066456">
            <w:pPr>
              <w:widowControl/>
              <w:jc w:val="center"/>
              <w:textAlignment w:val="center"/>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盒</w:t>
            </w:r>
          </w:p>
        </w:tc>
        <w:tc>
          <w:tcPr>
            <w:tcW w:w="1281" w:type="dxa"/>
            <w:shd w:val="clear" w:color="auto" w:fill="auto"/>
            <w:vAlign w:val="center"/>
          </w:tcPr>
          <w:p w14:paraId="58412992" w14:textId="77777777" w:rsidR="00A6568D" w:rsidRDefault="00A6568D">
            <w:pPr>
              <w:widowControl/>
              <w:jc w:val="center"/>
              <w:textAlignment w:val="center"/>
              <w:rPr>
                <w:rFonts w:ascii="仿宋" w:eastAsia="仿宋" w:hAnsi="仿宋"/>
                <w:sz w:val="28"/>
                <w:szCs w:val="28"/>
              </w:rPr>
            </w:pPr>
          </w:p>
        </w:tc>
        <w:tc>
          <w:tcPr>
            <w:tcW w:w="1098" w:type="dxa"/>
            <w:shd w:val="clear" w:color="auto" w:fill="auto"/>
            <w:vAlign w:val="center"/>
          </w:tcPr>
          <w:p w14:paraId="56E4B9A7" w14:textId="77777777" w:rsidR="00A6568D" w:rsidRDefault="00A6568D">
            <w:pPr>
              <w:widowControl/>
              <w:jc w:val="center"/>
              <w:textAlignment w:val="center"/>
              <w:rPr>
                <w:rFonts w:ascii="仿宋" w:eastAsia="仿宋" w:hAnsi="仿宋"/>
                <w:sz w:val="28"/>
                <w:szCs w:val="28"/>
              </w:rPr>
            </w:pPr>
          </w:p>
        </w:tc>
        <w:tc>
          <w:tcPr>
            <w:tcW w:w="1114" w:type="dxa"/>
            <w:shd w:val="clear" w:color="auto" w:fill="auto"/>
            <w:vAlign w:val="center"/>
          </w:tcPr>
          <w:p w14:paraId="1FB31FED" w14:textId="77777777" w:rsidR="00A6568D" w:rsidRDefault="00A6568D">
            <w:pPr>
              <w:widowControl/>
              <w:jc w:val="center"/>
              <w:textAlignment w:val="center"/>
              <w:rPr>
                <w:rFonts w:ascii="仿宋" w:eastAsia="仿宋" w:hAnsi="仿宋"/>
                <w:sz w:val="28"/>
                <w:szCs w:val="28"/>
              </w:rPr>
            </w:pPr>
          </w:p>
        </w:tc>
      </w:tr>
      <w:tr w:rsidR="00CA3F38" w14:paraId="150EF25C" w14:textId="77777777">
        <w:tc>
          <w:tcPr>
            <w:tcW w:w="864" w:type="dxa"/>
            <w:shd w:val="clear" w:color="auto" w:fill="auto"/>
          </w:tcPr>
          <w:p w14:paraId="53DC270B" w14:textId="77777777" w:rsidR="00CA3F38" w:rsidRDefault="00CA3F38">
            <w:pPr>
              <w:pStyle w:val="a5"/>
              <w:spacing w:line="560" w:lineRule="exact"/>
              <w:ind w:firstLineChars="0" w:firstLine="0"/>
              <w:rPr>
                <w:rFonts w:ascii="仿宋" w:eastAsia="仿宋" w:hAnsi="仿宋"/>
                <w:sz w:val="28"/>
                <w:szCs w:val="28"/>
              </w:rPr>
            </w:pPr>
          </w:p>
        </w:tc>
        <w:tc>
          <w:tcPr>
            <w:tcW w:w="2375" w:type="dxa"/>
            <w:shd w:val="clear" w:color="auto" w:fill="auto"/>
          </w:tcPr>
          <w:p w14:paraId="34FF0DEB" w14:textId="77777777" w:rsidR="00CA3F38" w:rsidRDefault="00EE4A8C">
            <w:pPr>
              <w:pStyle w:val="a5"/>
              <w:spacing w:line="560" w:lineRule="exact"/>
              <w:ind w:firstLineChars="0" w:firstLine="0"/>
              <w:jc w:val="center"/>
              <w:rPr>
                <w:rFonts w:ascii="仿宋" w:eastAsia="仿宋" w:hAnsi="仿宋"/>
                <w:b/>
                <w:bCs/>
                <w:sz w:val="28"/>
                <w:szCs w:val="28"/>
              </w:rPr>
            </w:pPr>
            <w:r>
              <w:rPr>
                <w:rFonts w:ascii="仿宋" w:eastAsia="仿宋" w:hAnsi="仿宋" w:hint="eastAsia"/>
                <w:b/>
                <w:bCs/>
                <w:sz w:val="28"/>
                <w:szCs w:val="28"/>
              </w:rPr>
              <w:t>合计</w:t>
            </w:r>
          </w:p>
        </w:tc>
        <w:tc>
          <w:tcPr>
            <w:tcW w:w="9022" w:type="dxa"/>
            <w:gridSpan w:val="4"/>
            <w:shd w:val="clear" w:color="auto" w:fill="auto"/>
          </w:tcPr>
          <w:p w14:paraId="7A001130" w14:textId="77777777" w:rsidR="00CA3F38" w:rsidRDefault="00EE4A8C">
            <w:pPr>
              <w:pStyle w:val="a5"/>
              <w:spacing w:line="560" w:lineRule="exact"/>
              <w:ind w:firstLineChars="0" w:firstLine="0"/>
              <w:rPr>
                <w:rFonts w:ascii="仿宋" w:eastAsia="仿宋" w:hAnsi="仿宋"/>
                <w:b/>
                <w:bCs/>
                <w:sz w:val="28"/>
                <w:szCs w:val="28"/>
              </w:rPr>
            </w:pPr>
            <w:r>
              <w:rPr>
                <w:rFonts w:ascii="仿宋" w:eastAsia="仿宋" w:hAnsi="仿宋" w:hint="eastAsia"/>
                <w:b/>
                <w:bCs/>
                <w:sz w:val="28"/>
                <w:szCs w:val="28"/>
              </w:rPr>
              <w:t>大写：</w:t>
            </w:r>
          </w:p>
        </w:tc>
        <w:tc>
          <w:tcPr>
            <w:tcW w:w="2212" w:type="dxa"/>
            <w:gridSpan w:val="2"/>
            <w:shd w:val="clear" w:color="auto" w:fill="auto"/>
          </w:tcPr>
          <w:p w14:paraId="221C38E0" w14:textId="77777777" w:rsidR="00CA3F38" w:rsidRDefault="00EE4A8C">
            <w:pPr>
              <w:pStyle w:val="a5"/>
              <w:spacing w:line="560" w:lineRule="exact"/>
              <w:ind w:firstLineChars="0" w:firstLine="0"/>
              <w:rPr>
                <w:rFonts w:ascii="仿宋" w:eastAsia="仿宋" w:hAnsi="仿宋"/>
                <w:b/>
                <w:bCs/>
                <w:sz w:val="28"/>
                <w:szCs w:val="28"/>
              </w:rPr>
            </w:pPr>
            <w:r>
              <w:rPr>
                <w:rFonts w:ascii="仿宋" w:eastAsia="仿宋" w:hAnsi="仿宋" w:hint="eastAsia"/>
                <w:b/>
                <w:bCs/>
                <w:sz w:val="28"/>
                <w:szCs w:val="28"/>
              </w:rPr>
              <w:t>小写：</w:t>
            </w:r>
          </w:p>
        </w:tc>
      </w:tr>
      <w:tr w:rsidR="00CA3F38" w14:paraId="2C675FAE" w14:textId="77777777">
        <w:tc>
          <w:tcPr>
            <w:tcW w:w="864" w:type="dxa"/>
            <w:shd w:val="clear" w:color="auto" w:fill="auto"/>
          </w:tcPr>
          <w:p w14:paraId="01451A17" w14:textId="77777777" w:rsidR="00CA3F38" w:rsidRDefault="00CA3F38">
            <w:pPr>
              <w:pStyle w:val="a5"/>
              <w:spacing w:line="560" w:lineRule="exact"/>
              <w:ind w:firstLineChars="0" w:firstLine="0"/>
              <w:rPr>
                <w:rFonts w:ascii="仿宋" w:eastAsia="仿宋" w:hAnsi="仿宋"/>
                <w:sz w:val="28"/>
                <w:szCs w:val="28"/>
              </w:rPr>
            </w:pPr>
          </w:p>
        </w:tc>
        <w:tc>
          <w:tcPr>
            <w:tcW w:w="13609" w:type="dxa"/>
            <w:gridSpan w:val="7"/>
            <w:shd w:val="clear" w:color="auto" w:fill="auto"/>
          </w:tcPr>
          <w:p w14:paraId="5174D226" w14:textId="77777777" w:rsidR="00CA3F38" w:rsidRDefault="00EE4A8C">
            <w:pPr>
              <w:pStyle w:val="a5"/>
              <w:spacing w:line="560" w:lineRule="exact"/>
              <w:ind w:firstLineChars="0" w:firstLine="0"/>
              <w:rPr>
                <w:rFonts w:ascii="仿宋" w:eastAsia="仿宋" w:hAnsi="仿宋"/>
                <w:b/>
                <w:bCs/>
                <w:sz w:val="28"/>
                <w:szCs w:val="28"/>
              </w:rPr>
            </w:pPr>
            <w:r>
              <w:rPr>
                <w:rFonts w:ascii="仿宋" w:eastAsia="仿宋" w:hAnsi="仿宋" w:hint="eastAsia"/>
                <w:b/>
                <w:bCs/>
                <w:sz w:val="28"/>
                <w:szCs w:val="28"/>
              </w:rPr>
              <w:t>供货期：</w:t>
            </w:r>
          </w:p>
        </w:tc>
      </w:tr>
    </w:tbl>
    <w:p w14:paraId="3614ECDA" w14:textId="77777777" w:rsidR="00CA3F38" w:rsidRDefault="00EE4A8C">
      <w:pPr>
        <w:pStyle w:val="a5"/>
        <w:spacing w:line="560" w:lineRule="exact"/>
        <w:ind w:firstLineChars="0" w:firstLine="0"/>
        <w:rPr>
          <w:rFonts w:ascii="仿宋" w:eastAsia="仿宋" w:hAnsi="仿宋"/>
          <w:sz w:val="28"/>
          <w:szCs w:val="28"/>
        </w:rPr>
      </w:pPr>
      <w:r>
        <w:rPr>
          <w:rFonts w:ascii="仿宋" w:eastAsia="仿宋" w:hAnsi="仿宋" w:hint="eastAsia"/>
          <w:sz w:val="28"/>
          <w:szCs w:val="28"/>
        </w:rPr>
        <w:t>经办人签字：</w:t>
      </w:r>
    </w:p>
    <w:p w14:paraId="7DDD384A" w14:textId="77777777" w:rsidR="00CA3F38" w:rsidRDefault="00CA3F38">
      <w:pPr>
        <w:pStyle w:val="a5"/>
        <w:spacing w:line="560" w:lineRule="exact"/>
        <w:ind w:firstLineChars="0" w:firstLine="0"/>
        <w:rPr>
          <w:rFonts w:ascii="仿宋" w:eastAsia="仿宋" w:hAnsi="仿宋"/>
          <w:sz w:val="28"/>
          <w:szCs w:val="28"/>
        </w:rPr>
      </w:pPr>
    </w:p>
    <w:p w14:paraId="7E055A0B" w14:textId="77777777" w:rsidR="00CA3F38" w:rsidRDefault="00EE4A8C">
      <w:pPr>
        <w:pStyle w:val="a5"/>
        <w:spacing w:line="560" w:lineRule="exact"/>
        <w:ind w:firstLineChars="0" w:firstLine="0"/>
      </w:pPr>
      <w:r>
        <w:rPr>
          <w:rFonts w:ascii="仿宋" w:eastAsia="仿宋" w:hAnsi="仿宋" w:hint="eastAsia"/>
          <w:sz w:val="28"/>
          <w:szCs w:val="28"/>
        </w:rPr>
        <w:t>供应商名称（公章）：</w:t>
      </w: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报</w:t>
      </w:r>
      <w:r>
        <w:rPr>
          <w:rFonts w:ascii="仿宋" w:eastAsia="仿宋" w:hAnsi="仿宋" w:hint="eastAsia"/>
          <w:sz w:val="28"/>
          <w:szCs w:val="28"/>
        </w:rPr>
        <w:t xml:space="preserve">  </w:t>
      </w:r>
      <w:r>
        <w:rPr>
          <w:rFonts w:ascii="仿宋" w:eastAsia="仿宋" w:hAnsi="仿宋" w:hint="eastAsia"/>
          <w:sz w:val="28"/>
          <w:szCs w:val="28"/>
        </w:rPr>
        <w:t>价</w:t>
      </w:r>
      <w:r>
        <w:rPr>
          <w:rFonts w:ascii="仿宋" w:eastAsia="仿宋" w:hAnsi="仿宋" w:hint="eastAsia"/>
          <w:sz w:val="28"/>
          <w:szCs w:val="28"/>
        </w:rPr>
        <w:t xml:space="preserve">  </w:t>
      </w:r>
      <w:r>
        <w:rPr>
          <w:rFonts w:ascii="仿宋" w:eastAsia="仿宋" w:hAnsi="仿宋" w:hint="eastAsia"/>
          <w:sz w:val="28"/>
          <w:szCs w:val="28"/>
        </w:rPr>
        <w:t>日</w:t>
      </w:r>
      <w:r>
        <w:rPr>
          <w:rFonts w:ascii="仿宋" w:eastAsia="仿宋" w:hAnsi="仿宋" w:hint="eastAsia"/>
          <w:sz w:val="28"/>
          <w:szCs w:val="28"/>
        </w:rPr>
        <w:t xml:space="preserve">  </w:t>
      </w:r>
      <w:r>
        <w:rPr>
          <w:rFonts w:ascii="仿宋" w:eastAsia="仿宋" w:hAnsi="仿宋" w:hint="eastAsia"/>
          <w:sz w:val="28"/>
          <w:szCs w:val="28"/>
        </w:rPr>
        <w:t>期：</w:t>
      </w: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r>
        <w:rPr>
          <w:rFonts w:ascii="仿宋" w:eastAsia="仿宋" w:hAnsi="仿宋" w:hint="eastAsia"/>
          <w:sz w:val="28"/>
          <w:szCs w:val="28"/>
        </w:rPr>
        <w:t xml:space="preserve">  </w:t>
      </w:r>
    </w:p>
    <w:sectPr w:rsidR="00CA3F38" w:rsidSect="00375D89">
      <w:pgSz w:w="16838" w:h="11906" w:orient="landscape"/>
      <w:pgMar w:top="1134" w:right="1135" w:bottom="1286" w:left="144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6F59A" w14:textId="77777777" w:rsidR="00EE4A8C" w:rsidRDefault="00EE4A8C" w:rsidP="00A6568D">
      <w:r>
        <w:separator/>
      </w:r>
    </w:p>
  </w:endnote>
  <w:endnote w:type="continuationSeparator" w:id="0">
    <w:p w14:paraId="537966E1" w14:textId="77777777" w:rsidR="00EE4A8C" w:rsidRDefault="00EE4A8C" w:rsidP="00A6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D6DBB" w14:textId="77777777" w:rsidR="00EE4A8C" w:rsidRDefault="00EE4A8C" w:rsidP="00A6568D">
      <w:r>
        <w:separator/>
      </w:r>
    </w:p>
  </w:footnote>
  <w:footnote w:type="continuationSeparator" w:id="0">
    <w:p w14:paraId="46710B33" w14:textId="77777777" w:rsidR="00EE4A8C" w:rsidRDefault="00EE4A8C" w:rsidP="00A65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mOWEwNjdmMTEwYWY5YjdlMDJkMzI1MzZhNmZmZTUifQ=="/>
  </w:docVars>
  <w:rsids>
    <w:rsidRoot w:val="00172A27"/>
    <w:rsid w:val="00066456"/>
    <w:rsid w:val="00172A27"/>
    <w:rsid w:val="00331557"/>
    <w:rsid w:val="00347909"/>
    <w:rsid w:val="00375D89"/>
    <w:rsid w:val="004949BD"/>
    <w:rsid w:val="004E6197"/>
    <w:rsid w:val="005A2281"/>
    <w:rsid w:val="005A65D4"/>
    <w:rsid w:val="008612E0"/>
    <w:rsid w:val="008D625D"/>
    <w:rsid w:val="009520A9"/>
    <w:rsid w:val="00A64C82"/>
    <w:rsid w:val="00A6568D"/>
    <w:rsid w:val="00C20B63"/>
    <w:rsid w:val="00C20CA8"/>
    <w:rsid w:val="00CA3F38"/>
    <w:rsid w:val="00D23AD7"/>
    <w:rsid w:val="00EC40AB"/>
    <w:rsid w:val="00EC74FA"/>
    <w:rsid w:val="00EE4A8C"/>
    <w:rsid w:val="02671BD1"/>
    <w:rsid w:val="082E06EA"/>
    <w:rsid w:val="0EB60A64"/>
    <w:rsid w:val="0F905827"/>
    <w:rsid w:val="10131AF0"/>
    <w:rsid w:val="107E22A2"/>
    <w:rsid w:val="13E34A71"/>
    <w:rsid w:val="16827436"/>
    <w:rsid w:val="1BEA475F"/>
    <w:rsid w:val="1CBB2AE0"/>
    <w:rsid w:val="1DC207D0"/>
    <w:rsid w:val="28E405BA"/>
    <w:rsid w:val="2FEC59BC"/>
    <w:rsid w:val="30836EFC"/>
    <w:rsid w:val="31DB6AA8"/>
    <w:rsid w:val="331D1465"/>
    <w:rsid w:val="36AB6305"/>
    <w:rsid w:val="3D605787"/>
    <w:rsid w:val="3E1F0B6E"/>
    <w:rsid w:val="3EBD4FE1"/>
    <w:rsid w:val="3F043BAC"/>
    <w:rsid w:val="412E7026"/>
    <w:rsid w:val="432D0D9F"/>
    <w:rsid w:val="4A415589"/>
    <w:rsid w:val="4C8E0848"/>
    <w:rsid w:val="4F8C22B7"/>
    <w:rsid w:val="588B1EC4"/>
    <w:rsid w:val="58EE7E2E"/>
    <w:rsid w:val="60C74A21"/>
    <w:rsid w:val="61AF3F2A"/>
    <w:rsid w:val="64681653"/>
    <w:rsid w:val="6566591D"/>
    <w:rsid w:val="65861CC6"/>
    <w:rsid w:val="673C4D73"/>
    <w:rsid w:val="68B70748"/>
    <w:rsid w:val="6EFF1481"/>
    <w:rsid w:val="6F0C7DA2"/>
    <w:rsid w:val="6F230C4F"/>
    <w:rsid w:val="715B51AB"/>
    <w:rsid w:val="74A40EAA"/>
    <w:rsid w:val="78F54B33"/>
    <w:rsid w:val="7A333C80"/>
    <w:rsid w:val="7EF00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86FD51-EB6F-4ABC-960C-2804D7623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qFormat/>
    <w:rPr>
      <w:rFonts w:ascii="等线" w:eastAsia="等线" w:hAnsi="等线" w:cs="Times New Roman"/>
      <w:sz w:val="18"/>
      <w:szCs w:val="18"/>
    </w:rPr>
  </w:style>
  <w:style w:type="character" w:customStyle="1" w:styleId="Char">
    <w:name w:val="页脚 Char"/>
    <w:basedOn w:val="a0"/>
    <w:link w:val="a3"/>
    <w:uiPriority w:val="99"/>
    <w:qFormat/>
    <w:rPr>
      <w:rFonts w:ascii="等线" w:eastAsia="等线" w:hAnsi="等线" w:cs="Times New Roman"/>
      <w:sz w:val="18"/>
      <w:szCs w:val="18"/>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宋体" w:eastAsia="宋体" w:hAnsi="宋体" w:cs="宋体" w:hint="eastAsia"/>
      <w:color w:val="000000"/>
      <w:sz w:val="18"/>
      <w:szCs w:val="18"/>
      <w:u w:val="none"/>
    </w:rPr>
  </w:style>
  <w:style w:type="character" w:customStyle="1" w:styleId="font41">
    <w:name w:val="font41"/>
    <w:basedOn w:val="a0"/>
    <w:qFormat/>
    <w:rPr>
      <w:rFonts w:ascii="Times New Roman" w:hAnsi="Times New Roman" w:cs="Times New Roman" w:hint="default"/>
      <w:color w:val="000000"/>
      <w:sz w:val="18"/>
      <w:szCs w:val="18"/>
      <w:u w:val="none"/>
    </w:rPr>
  </w:style>
  <w:style w:type="character" w:customStyle="1" w:styleId="font81">
    <w:name w:val="font81"/>
    <w:basedOn w:val="a0"/>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128</Words>
  <Characters>734</Characters>
  <Application>Microsoft Office Word</Application>
  <DocSecurity>0</DocSecurity>
  <Lines>6</Lines>
  <Paragraphs>1</Paragraphs>
  <ScaleCrop>false</ScaleCrop>
  <Company>P R C</Company>
  <LinksUpToDate>false</LinksUpToDate>
  <CharactersWithSpaces>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刘远飞</cp:lastModifiedBy>
  <cp:revision>8</cp:revision>
  <dcterms:created xsi:type="dcterms:W3CDTF">2021-10-27T07:02:00Z</dcterms:created>
  <dcterms:modified xsi:type="dcterms:W3CDTF">2025-01-20T02:07:00Z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B6272305FA8243F8A15E12120CF932F4</vt:lpwstr>
  </property>
  <property fmtid="{D5CDD505-2E9C-101B-9397-08002B2CF9AE}" pid="4" name="KSOTemplateDocerSaveRecord">
    <vt:lpwstr>eyJoZGlkIjoiN2ZjN2NmYjQzNWQ3OGJhMDdjOTZmZWU1NzBjMGQxMWEiLCJ1c2VySWQiOiI1MjUyMjgyNDIifQ==</vt:lpwstr>
  </property>
</Properties>
</file>