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bookmarkStart w:id="0" w:name="_GoBack"/>
      <w:bookmarkEnd w:id="0"/>
      <w:r>
        <w:rPr>
          <w:rFonts w:hint="eastAsia" w:ascii="仿宋" w:hAnsi="仿宋" w:eastAsia="仿宋"/>
          <w:b/>
          <w:sz w:val="44"/>
          <w:szCs w:val="44"/>
        </w:rPr>
        <w:t>报价一览表</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项目名称：机构改革单位资产清查</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项目编号：寄采申（2024）39号</w:t>
      </w:r>
    </w:p>
    <w:tbl>
      <w:tblPr>
        <w:tblStyle w:val="4"/>
        <w:tblpPr w:leftFromText="180" w:rightFromText="180" w:vertAnchor="text" w:horzAnchor="page" w:tblpX="1158" w:tblpY="118"/>
        <w:tblOverlap w:val="never"/>
        <w:tblW w:w="14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681"/>
        <w:gridCol w:w="7967"/>
        <w:gridCol w:w="800"/>
        <w:gridCol w:w="767"/>
        <w:gridCol w:w="1183"/>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681"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7967"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800"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767"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183" w:type="dxa"/>
            <w:shd w:val="clear" w:color="auto" w:fill="auto"/>
            <w:vAlign w:val="center"/>
          </w:tcPr>
          <w:p>
            <w:pPr>
              <w:pStyle w:val="6"/>
              <w:spacing w:line="560" w:lineRule="exact"/>
              <w:ind w:firstLine="0" w:firstLineChars="0"/>
              <w:jc w:val="center"/>
              <w:rPr>
                <w:rFonts w:hint="default" w:ascii="仿宋" w:hAnsi="仿宋" w:eastAsia="仿宋"/>
                <w:sz w:val="24"/>
                <w:szCs w:val="24"/>
                <w:lang w:val="en-US"/>
              </w:rPr>
            </w:pPr>
            <w:r>
              <w:rPr>
                <w:rFonts w:hint="eastAsia" w:ascii="仿宋" w:hAnsi="仿宋" w:eastAsia="仿宋"/>
                <w:sz w:val="24"/>
                <w:szCs w:val="24"/>
                <w:lang w:val="en-US" w:eastAsia="zh-CN"/>
              </w:rPr>
              <w:t>服务单价</w:t>
            </w:r>
          </w:p>
        </w:tc>
        <w:tc>
          <w:tcPr>
            <w:tcW w:w="1300"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81" w:type="dxa"/>
            <w:shd w:val="clear" w:color="auto" w:fill="auto"/>
            <w:vAlign w:val="center"/>
          </w:tcPr>
          <w:p>
            <w:pPr>
              <w:keepNext w:val="0"/>
              <w:keepLines w:val="0"/>
              <w:widowControl/>
              <w:suppressLineNumbers w:val="0"/>
              <w:jc w:val="left"/>
              <w:textAlignment w:val="center"/>
              <w:rPr>
                <w:rFonts w:hint="default" w:ascii="宋体" w:hAnsi="宋体" w:eastAsia="等线" w:cs="宋体"/>
                <w:color w:val="000000"/>
                <w:sz w:val="22"/>
                <w:szCs w:val="22"/>
                <w:lang w:val="en-US" w:eastAsia="zh-CN"/>
              </w:rPr>
            </w:pPr>
            <w:r>
              <w:rPr>
                <w:rFonts w:hint="eastAsia" w:ascii="仿宋" w:hAnsi="仿宋" w:eastAsia="仿宋"/>
                <w:sz w:val="32"/>
                <w:szCs w:val="32"/>
                <w:lang w:val="en-US" w:eastAsia="zh-CN"/>
              </w:rPr>
              <w:t>固定资产清查</w:t>
            </w:r>
          </w:p>
        </w:tc>
        <w:tc>
          <w:tcPr>
            <w:tcW w:w="7967" w:type="dxa"/>
            <w:shd w:val="clear" w:color="auto" w:fill="auto"/>
            <w:vAlign w:val="center"/>
          </w:tcPr>
          <w:p>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以2023年12月31日为基准日，对固定资产、无形资产、在建工程以及房屋、土地、车辆、办公设备及家具等进行全面清查、登记。                                              2.出具清查报告（行业备案，二维码可查询）。            </w:t>
            </w:r>
          </w:p>
          <w:p>
            <w:pPr>
              <w:keepNext w:val="0"/>
              <w:keepLines w:val="0"/>
              <w:widowControl/>
              <w:numPr>
                <w:ilvl w:val="0"/>
                <w:numId w:val="0"/>
              </w:numPr>
              <w:suppressLineNumbers w:val="0"/>
              <w:tabs>
                <w:tab w:val="left" w:pos="330"/>
              </w:tabs>
              <w:ind w:left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清查费用含人工费</w:t>
            </w:r>
            <w:r>
              <w:rPr>
                <w:rFonts w:hint="eastAsia" w:ascii="Times New Roman" w:hAnsi="Times New Roman" w:eastAsia="宋体" w:cs="Times New Roman"/>
                <w:i w:val="0"/>
                <w:iCs w:val="0"/>
                <w:color w:val="000000"/>
                <w:kern w:val="0"/>
                <w:sz w:val="20"/>
                <w:szCs w:val="20"/>
                <w:u w:val="none"/>
                <w:lang w:val="en-US" w:eastAsia="zh-CN" w:bidi="ar"/>
              </w:rPr>
              <w:t>、税费</w:t>
            </w:r>
            <w:r>
              <w:rPr>
                <w:rFonts w:hint="default" w:ascii="Times New Roman" w:hAnsi="Times New Roman" w:eastAsia="宋体" w:cs="Times New Roman"/>
                <w:i w:val="0"/>
                <w:iCs w:val="0"/>
                <w:color w:val="000000"/>
                <w:kern w:val="0"/>
                <w:sz w:val="20"/>
                <w:szCs w:val="20"/>
                <w:u w:val="none"/>
                <w:lang w:val="en-US" w:eastAsia="zh-CN" w:bidi="ar"/>
              </w:rPr>
              <w:t>及工作人员往返昆明、普洱差旅费</w:t>
            </w:r>
            <w:r>
              <w:rPr>
                <w:rFonts w:hint="eastAsia" w:ascii="Times New Roman" w:hAnsi="Times New Roman" w:eastAsia="宋体" w:cs="Times New Roman"/>
                <w:i w:val="0"/>
                <w:iCs w:val="0"/>
                <w:color w:val="000000"/>
                <w:kern w:val="0"/>
                <w:sz w:val="20"/>
                <w:szCs w:val="20"/>
                <w:u w:val="none"/>
                <w:lang w:val="en-US" w:eastAsia="zh-CN" w:bidi="ar"/>
              </w:rPr>
              <w:t>等所有费用</w:t>
            </w:r>
            <w:r>
              <w:rPr>
                <w:rFonts w:hint="default" w:ascii="Times New Roman" w:hAnsi="Times New Roman" w:eastAsia="宋体" w:cs="Times New Roman"/>
                <w:i w:val="0"/>
                <w:iCs w:val="0"/>
                <w:color w:val="000000"/>
                <w:kern w:val="0"/>
                <w:sz w:val="20"/>
                <w:szCs w:val="20"/>
                <w:u w:val="none"/>
                <w:lang w:val="en-US" w:eastAsia="zh-CN" w:bidi="ar"/>
              </w:rPr>
              <w:t xml:space="preserve"> 。   </w:t>
            </w:r>
          </w:p>
          <w:p>
            <w:pPr>
              <w:keepNext w:val="0"/>
              <w:keepLines w:val="0"/>
              <w:widowControl/>
              <w:numPr>
                <w:ilvl w:val="0"/>
                <w:numId w:val="0"/>
              </w:numPr>
              <w:suppressLineNumbers w:val="0"/>
              <w:ind w:leftChars="0"/>
              <w:jc w:val="left"/>
              <w:textAlignment w:val="center"/>
              <w:rPr>
                <w:rFonts w:ascii="Times New Roman" w:hAnsi="Times New Roman" w:eastAsia="宋体"/>
                <w:sz w:val="22"/>
                <w:szCs w:val="22"/>
              </w:rPr>
            </w:pP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完成清查工作并出具报告时间为</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合同签订后15个日历日内</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FF0000"/>
                <w:kern w:val="0"/>
                <w:sz w:val="20"/>
                <w:szCs w:val="20"/>
                <w:u w:val="none"/>
                <w:lang w:val="en-US" w:eastAsia="zh-CN" w:bidi="ar"/>
              </w:rPr>
              <w:t xml:space="preserve"> </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6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83"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300" w:type="dxa"/>
            <w:shd w:val="clear" w:color="auto" w:fill="auto"/>
            <w:vAlign w:val="center"/>
          </w:tcPr>
          <w:p>
            <w:pPr>
              <w:keepNext w:val="0"/>
              <w:keepLines w:val="0"/>
              <w:widowControl/>
              <w:suppressLineNumbers w:val="0"/>
              <w:jc w:val="left"/>
              <w:textAlignment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9534" w:type="dxa"/>
            <w:gridSpan w:val="3"/>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大写：</w:t>
            </w:r>
          </w:p>
        </w:tc>
        <w:tc>
          <w:tcPr>
            <w:tcW w:w="2483" w:type="dxa"/>
            <w:gridSpan w:val="2"/>
            <w:shd w:val="clear" w:color="auto" w:fill="auto"/>
            <w:vAlign w:val="center"/>
          </w:tcPr>
          <w:p>
            <w:pPr>
              <w:keepNext w:val="0"/>
              <w:keepLines w:val="0"/>
              <w:widowControl/>
              <w:suppressLineNumbers w:val="0"/>
              <w:jc w:val="left"/>
              <w:textAlignment w:val="center"/>
              <w:rPr>
                <w:rFonts w:ascii="仿宋" w:hAnsi="仿宋" w:eastAsia="仿宋"/>
                <w:sz w:val="28"/>
                <w:szCs w:val="28"/>
              </w:rPr>
            </w:pPr>
            <w:r>
              <w:rPr>
                <w:rFonts w:hint="eastAsia" w:ascii="仿宋" w:hAnsi="仿宋" w:eastAsia="仿宋"/>
                <w:sz w:val="28"/>
                <w:szCs w:val="28"/>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562" w:type="dxa"/>
            <w:gridSpan w:val="7"/>
            <w:shd w:val="clear" w:color="auto" w:fill="auto"/>
            <w:vAlign w:val="center"/>
          </w:tcPr>
          <w:p>
            <w:pPr>
              <w:keepNext w:val="0"/>
              <w:keepLines w:val="0"/>
              <w:widowControl/>
              <w:suppressLineNumbers w:val="0"/>
              <w:jc w:val="left"/>
              <w:textAlignment w:val="center"/>
              <w:rPr>
                <w:rFonts w:hint="eastAsia" w:ascii="仿宋" w:hAnsi="仿宋" w:eastAsia="仿宋"/>
                <w:sz w:val="28"/>
                <w:szCs w:val="28"/>
                <w:lang w:eastAsia="zh-CN"/>
              </w:rPr>
            </w:pPr>
            <w:r>
              <w:rPr>
                <w:rFonts w:hint="eastAsia" w:ascii="宋体" w:hAnsi="宋体" w:eastAsia="宋体" w:cs="宋体"/>
                <w:i w:val="0"/>
                <w:iCs w:val="0"/>
                <w:color w:val="000000"/>
                <w:kern w:val="0"/>
                <w:sz w:val="24"/>
                <w:szCs w:val="24"/>
                <w:u w:val="none"/>
                <w:lang w:val="en-US" w:eastAsia="zh-CN" w:bidi="ar"/>
              </w:rPr>
              <w:t>服务期：</w:t>
            </w:r>
          </w:p>
        </w:tc>
      </w:tr>
    </w:tbl>
    <w:p>
      <w:pPr>
        <w:pStyle w:val="6"/>
        <w:spacing w:line="560" w:lineRule="exact"/>
        <w:ind w:firstLine="0" w:firstLineChars="0"/>
        <w:rPr>
          <w:rFonts w:hint="eastAsia" w:ascii="仿宋" w:hAnsi="仿宋" w:eastAsia="仿宋"/>
          <w:sz w:val="28"/>
          <w:szCs w:val="28"/>
        </w:rPr>
      </w:pPr>
      <w:r>
        <w:rPr>
          <w:rFonts w:hint="eastAsia" w:ascii="仿宋" w:hAnsi="仿宋" w:eastAsia="仿宋"/>
          <w:sz w:val="28"/>
          <w:szCs w:val="28"/>
        </w:rPr>
        <w:t>经办人签字：</w:t>
      </w:r>
    </w:p>
    <w:p>
      <w:pPr>
        <w:pStyle w:val="6"/>
        <w:spacing w:line="560" w:lineRule="exact"/>
        <w:ind w:firstLine="0" w:firstLineChars="0"/>
        <w:rPr>
          <w:rFonts w:hint="eastAsia" w:ascii="仿宋" w:hAnsi="仿宋" w:eastAsia="仿宋"/>
          <w:sz w:val="28"/>
          <w:szCs w:val="28"/>
        </w:rPr>
      </w:pPr>
    </w:p>
    <w:p>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28"/>
          <w:szCs w:val="28"/>
          <w:lang w:eastAsia="zh-CN"/>
        </w:rPr>
        <w:t>律所</w:t>
      </w:r>
      <w:r>
        <w:rPr>
          <w:rFonts w:hint="eastAsia" w:ascii="仿宋" w:hAnsi="仿宋" w:eastAsia="仿宋"/>
          <w:sz w:val="28"/>
          <w:szCs w:val="28"/>
        </w:rPr>
        <w:t xml:space="preserve">名称（公章）：          </w:t>
      </w:r>
      <w:r>
        <w:rPr>
          <w:rFonts w:hint="eastAsia" w:ascii="仿宋" w:hAnsi="仿宋" w:eastAsia="仿宋"/>
          <w:sz w:val="28"/>
          <w:szCs w:val="28"/>
          <w:lang w:val="en-US" w:eastAsia="zh-CN"/>
        </w:rPr>
        <w:t xml:space="preserve">                   报  价  </w:t>
      </w:r>
      <w:r>
        <w:rPr>
          <w:rFonts w:hint="eastAsia" w:ascii="仿宋" w:hAnsi="仿宋" w:eastAsia="仿宋"/>
          <w:sz w:val="28"/>
          <w:szCs w:val="28"/>
        </w:rPr>
        <w:t>日  期：</w:t>
      </w:r>
      <w:r>
        <w:rPr>
          <w:rFonts w:hint="eastAsia" w:ascii="仿宋" w:hAnsi="仿宋" w:eastAsia="仿宋"/>
          <w:sz w:val="28"/>
          <w:szCs w:val="28"/>
          <w:lang w:val="en-US" w:eastAsia="zh-CN"/>
        </w:rPr>
        <w:t xml:space="preserve">     年    月    日  </w:t>
      </w:r>
    </w:p>
    <w:p/>
    <w:p/>
    <w:p/>
    <w:p/>
    <w:p/>
    <w:p/>
    <w:p/>
    <w:p>
      <w:pPr>
        <w:pStyle w:val="6"/>
        <w:spacing w:line="560" w:lineRule="exact"/>
        <w:ind w:firstLine="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2、综合评分详细办法：</w:t>
      </w:r>
    </w:p>
    <w:p>
      <w:pPr>
        <w:pStyle w:val="6"/>
        <w:spacing w:line="560" w:lineRule="exact"/>
        <w:ind w:firstLine="0" w:firstLineChars="0"/>
        <w:rPr>
          <w:rFonts w:hint="default" w:ascii="仿宋" w:hAnsi="仿宋" w:eastAsia="仿宋"/>
          <w:sz w:val="28"/>
          <w:szCs w:val="28"/>
          <w:lang w:val="en-US" w:eastAsia="zh-CN"/>
        </w:rPr>
      </w:pPr>
    </w:p>
    <w:tbl>
      <w:tblPr>
        <w:tblStyle w:val="4"/>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88"/>
        <w:gridCol w:w="425"/>
        <w:gridCol w:w="1248"/>
        <w:gridCol w:w="853"/>
        <w:gridCol w:w="1162"/>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1815" w:type="dxa"/>
            <w:gridSpan w:val="2"/>
            <w:noWrap w:val="0"/>
            <w:vAlign w:val="center"/>
          </w:tcPr>
          <w:p>
            <w:pPr>
              <w:spacing w:line="380" w:lineRule="exact"/>
              <w:jc w:val="center"/>
              <w:rPr>
                <w:rFonts w:ascii="仿宋" w:hAnsi="仿宋" w:eastAsia="仿宋"/>
                <w:b/>
                <w:sz w:val="24"/>
              </w:rPr>
            </w:pPr>
            <w:r>
              <w:rPr>
                <w:rFonts w:hint="eastAsia" w:ascii="仿宋" w:hAnsi="仿宋" w:eastAsia="仿宋"/>
                <w:b/>
                <w:sz w:val="24"/>
              </w:rPr>
              <w:t>条款号</w:t>
            </w:r>
          </w:p>
        </w:tc>
        <w:tc>
          <w:tcPr>
            <w:tcW w:w="2526" w:type="dxa"/>
            <w:gridSpan w:val="3"/>
            <w:noWrap w:val="0"/>
            <w:vAlign w:val="center"/>
          </w:tcPr>
          <w:p>
            <w:pPr>
              <w:spacing w:line="380" w:lineRule="exact"/>
              <w:jc w:val="center"/>
              <w:rPr>
                <w:rFonts w:ascii="仿宋" w:hAnsi="仿宋" w:eastAsia="仿宋"/>
                <w:b/>
                <w:sz w:val="24"/>
              </w:rPr>
            </w:pPr>
            <w:r>
              <w:rPr>
                <w:rFonts w:hint="eastAsia" w:ascii="仿宋" w:hAnsi="仿宋" w:eastAsia="仿宋"/>
                <w:b/>
                <w:sz w:val="24"/>
              </w:rPr>
              <w:t>评 审 内 容</w:t>
            </w:r>
          </w:p>
        </w:tc>
        <w:tc>
          <w:tcPr>
            <w:tcW w:w="5837" w:type="dxa"/>
            <w:gridSpan w:val="2"/>
            <w:noWrap w:val="0"/>
            <w:vAlign w:val="center"/>
          </w:tcPr>
          <w:p>
            <w:pPr>
              <w:spacing w:line="380" w:lineRule="exact"/>
              <w:jc w:val="center"/>
              <w:rPr>
                <w:rFonts w:ascii="仿宋" w:hAnsi="仿宋" w:eastAsia="仿宋"/>
                <w:b/>
                <w:sz w:val="24"/>
              </w:rPr>
            </w:pPr>
            <w:r>
              <w:rPr>
                <w:rFonts w:hint="eastAsia" w:ascii="仿宋" w:hAnsi="仿宋" w:eastAsia="仿宋"/>
                <w:b/>
                <w:sz w:val="24"/>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7" w:type="dxa"/>
            <w:noWrap w:val="0"/>
            <w:vAlign w:val="center"/>
          </w:tcPr>
          <w:p>
            <w:pPr>
              <w:spacing w:line="380" w:lineRule="exact"/>
              <w:jc w:val="center"/>
              <w:rPr>
                <w:rFonts w:ascii="仿宋" w:hAnsi="仿宋" w:eastAsia="仿宋"/>
                <w:sz w:val="24"/>
              </w:rPr>
            </w:pPr>
            <w:r>
              <w:rPr>
                <w:rFonts w:hint="eastAsia" w:ascii="仿宋" w:hAnsi="仿宋" w:eastAsia="仿宋"/>
                <w:sz w:val="24"/>
              </w:rPr>
              <w:t>2.1.1</w:t>
            </w:r>
          </w:p>
        </w:tc>
        <w:tc>
          <w:tcPr>
            <w:tcW w:w="988" w:type="dxa"/>
            <w:noWrap w:val="0"/>
            <w:vAlign w:val="center"/>
          </w:tcPr>
          <w:p>
            <w:pPr>
              <w:spacing w:line="380" w:lineRule="exact"/>
              <w:jc w:val="center"/>
              <w:rPr>
                <w:rFonts w:ascii="仿宋" w:hAnsi="仿宋" w:eastAsia="仿宋"/>
                <w:sz w:val="24"/>
              </w:rPr>
            </w:pPr>
            <w:r>
              <w:rPr>
                <w:rFonts w:hint="eastAsia" w:ascii="仿宋" w:hAnsi="仿宋" w:eastAsia="仿宋"/>
                <w:sz w:val="24"/>
              </w:rPr>
              <w:t>资格评审标准</w:t>
            </w:r>
          </w:p>
        </w:tc>
        <w:tc>
          <w:tcPr>
            <w:tcW w:w="2526" w:type="dxa"/>
            <w:gridSpan w:val="3"/>
            <w:noWrap w:val="0"/>
            <w:vAlign w:val="center"/>
          </w:tcPr>
          <w:p>
            <w:pPr>
              <w:spacing w:line="380" w:lineRule="exact"/>
              <w:jc w:val="center"/>
              <w:rPr>
                <w:rFonts w:ascii="仿宋" w:hAnsi="仿宋" w:eastAsia="仿宋"/>
                <w:sz w:val="24"/>
              </w:rPr>
            </w:pPr>
            <w:r>
              <w:rPr>
                <w:rFonts w:hint="eastAsia" w:ascii="仿宋" w:hAnsi="仿宋" w:eastAsia="仿宋"/>
                <w:sz w:val="24"/>
              </w:rPr>
              <w:t>资格条件</w:t>
            </w:r>
          </w:p>
        </w:tc>
        <w:tc>
          <w:tcPr>
            <w:tcW w:w="5837" w:type="dxa"/>
            <w:gridSpan w:val="2"/>
            <w:noWrap w:val="0"/>
            <w:vAlign w:val="center"/>
          </w:tcPr>
          <w:p>
            <w:pPr>
              <w:spacing w:line="380" w:lineRule="exact"/>
              <w:jc w:val="left"/>
              <w:rPr>
                <w:rFonts w:hint="eastAsia" w:ascii="仿宋" w:hAnsi="仿宋" w:eastAsia="仿宋"/>
                <w:sz w:val="24"/>
              </w:rPr>
            </w:pPr>
            <w:r>
              <w:rPr>
                <w:rFonts w:hint="eastAsia" w:ascii="仿宋" w:hAnsi="仿宋" w:eastAsia="仿宋"/>
                <w:sz w:val="24"/>
              </w:rPr>
              <w:t>递交响应文件时，供应商应提交核验的证照：</w:t>
            </w:r>
          </w:p>
          <w:p>
            <w:pPr>
              <w:spacing w:line="380" w:lineRule="exact"/>
              <w:jc w:val="left"/>
              <w:rPr>
                <w:rFonts w:hint="eastAsia" w:ascii="仿宋" w:hAnsi="仿宋" w:eastAsia="仿宋"/>
                <w:sz w:val="24"/>
              </w:rPr>
            </w:pPr>
            <w:r>
              <w:rPr>
                <w:rFonts w:hint="eastAsia" w:ascii="仿宋" w:hAnsi="仿宋" w:eastAsia="仿宋"/>
                <w:sz w:val="24"/>
              </w:rPr>
              <w:t>1.营业执照：加盖单位公章的复印件</w:t>
            </w:r>
          </w:p>
          <w:p>
            <w:pPr>
              <w:spacing w:line="380" w:lineRule="exact"/>
              <w:jc w:val="left"/>
              <w:rPr>
                <w:rFonts w:hint="eastAsia" w:ascii="仿宋" w:hAnsi="仿宋" w:eastAsia="仿宋"/>
                <w:sz w:val="24"/>
              </w:rPr>
            </w:pPr>
            <w:r>
              <w:rPr>
                <w:rFonts w:hint="eastAsia" w:ascii="仿宋" w:hAnsi="仿宋" w:eastAsia="仿宋"/>
                <w:sz w:val="24"/>
              </w:rPr>
              <w:t>2.法定代表人参加</w:t>
            </w:r>
            <w:r>
              <w:rPr>
                <w:rFonts w:hint="eastAsia" w:ascii="仿宋" w:hAnsi="仿宋" w:eastAsia="仿宋"/>
                <w:sz w:val="24"/>
                <w:lang w:eastAsia="zh-CN"/>
              </w:rPr>
              <w:t>投标</w:t>
            </w:r>
            <w:r>
              <w:rPr>
                <w:rFonts w:hint="eastAsia" w:ascii="仿宋" w:hAnsi="仿宋" w:eastAsia="仿宋"/>
                <w:sz w:val="24"/>
              </w:rPr>
              <w:t>时，需提供：</w:t>
            </w:r>
          </w:p>
          <w:p>
            <w:pPr>
              <w:spacing w:line="380" w:lineRule="exact"/>
              <w:jc w:val="left"/>
              <w:rPr>
                <w:rFonts w:hint="eastAsia" w:ascii="仿宋" w:hAnsi="仿宋" w:eastAsia="仿宋"/>
                <w:sz w:val="24"/>
              </w:rPr>
            </w:pPr>
            <w:r>
              <w:rPr>
                <w:rFonts w:hint="eastAsia" w:ascii="仿宋" w:hAnsi="仿宋" w:eastAsia="仿宋"/>
                <w:sz w:val="24"/>
              </w:rPr>
              <w:t>①法定代表人身份证明书（原件）</w:t>
            </w:r>
          </w:p>
          <w:p>
            <w:pPr>
              <w:spacing w:line="380" w:lineRule="exact"/>
              <w:jc w:val="left"/>
              <w:rPr>
                <w:rFonts w:hint="eastAsia" w:ascii="仿宋" w:hAnsi="仿宋" w:eastAsia="仿宋"/>
                <w:sz w:val="24"/>
              </w:rPr>
            </w:pPr>
            <w:r>
              <w:rPr>
                <w:rFonts w:hint="eastAsia" w:ascii="仿宋" w:hAnsi="仿宋" w:eastAsia="仿宋"/>
                <w:sz w:val="24"/>
              </w:rPr>
              <w:t>②法定代表人身份证（原件）</w:t>
            </w:r>
          </w:p>
          <w:p>
            <w:pPr>
              <w:spacing w:line="380" w:lineRule="exact"/>
              <w:jc w:val="left"/>
              <w:rPr>
                <w:rFonts w:hint="eastAsia" w:ascii="仿宋" w:hAnsi="仿宋" w:eastAsia="仿宋"/>
                <w:sz w:val="24"/>
              </w:rPr>
            </w:pPr>
            <w:r>
              <w:rPr>
                <w:rFonts w:hint="eastAsia" w:ascii="仿宋" w:hAnsi="仿宋" w:eastAsia="仿宋"/>
                <w:sz w:val="24"/>
              </w:rPr>
              <w:t>授权委托代理人参加</w:t>
            </w:r>
            <w:r>
              <w:rPr>
                <w:rFonts w:hint="eastAsia" w:ascii="仿宋" w:hAnsi="仿宋" w:eastAsia="仿宋"/>
                <w:sz w:val="24"/>
                <w:lang w:eastAsia="zh-CN"/>
              </w:rPr>
              <w:t>投标</w:t>
            </w:r>
            <w:r>
              <w:rPr>
                <w:rFonts w:hint="eastAsia" w:ascii="仿宋" w:hAnsi="仿宋" w:eastAsia="仿宋"/>
                <w:sz w:val="24"/>
              </w:rPr>
              <w:t>时，需提供：</w:t>
            </w:r>
          </w:p>
          <w:p>
            <w:pPr>
              <w:spacing w:line="380" w:lineRule="exact"/>
              <w:jc w:val="left"/>
              <w:rPr>
                <w:rFonts w:hint="eastAsia" w:ascii="仿宋" w:hAnsi="仿宋" w:eastAsia="仿宋"/>
                <w:sz w:val="24"/>
              </w:rPr>
            </w:pPr>
            <w:r>
              <w:rPr>
                <w:rFonts w:hint="eastAsia" w:ascii="仿宋" w:hAnsi="仿宋" w:eastAsia="仿宋"/>
                <w:sz w:val="24"/>
              </w:rPr>
              <w:t>①法定代表人身份证明书（原件）</w:t>
            </w:r>
          </w:p>
          <w:p>
            <w:pPr>
              <w:spacing w:line="380" w:lineRule="exact"/>
              <w:jc w:val="left"/>
              <w:rPr>
                <w:rFonts w:hint="eastAsia" w:ascii="仿宋" w:hAnsi="仿宋" w:eastAsia="仿宋"/>
                <w:sz w:val="24"/>
              </w:rPr>
            </w:pPr>
            <w:r>
              <w:rPr>
                <w:rFonts w:hint="eastAsia" w:ascii="仿宋" w:hAnsi="仿宋" w:eastAsia="仿宋"/>
                <w:sz w:val="24"/>
              </w:rPr>
              <w:t>②法定代表人授权委托书（原件）</w:t>
            </w:r>
          </w:p>
          <w:p>
            <w:pPr>
              <w:spacing w:line="380" w:lineRule="exact"/>
              <w:jc w:val="left"/>
              <w:rPr>
                <w:rFonts w:ascii="仿宋" w:hAnsi="仿宋" w:eastAsia="仿宋"/>
                <w:sz w:val="24"/>
              </w:rPr>
            </w:pPr>
            <w:r>
              <w:rPr>
                <w:rFonts w:hint="eastAsia" w:ascii="仿宋" w:hAnsi="仿宋" w:eastAsia="仿宋"/>
                <w:sz w:val="24"/>
              </w:rPr>
              <w:t>③授权委托代理人身份证（原件）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7" w:type="dxa"/>
            <w:vMerge w:val="restart"/>
            <w:noWrap w:val="0"/>
            <w:vAlign w:val="center"/>
          </w:tcPr>
          <w:p>
            <w:pPr>
              <w:spacing w:line="380" w:lineRule="exact"/>
              <w:jc w:val="center"/>
              <w:rPr>
                <w:rFonts w:ascii="仿宋" w:hAnsi="仿宋" w:eastAsia="仿宋"/>
                <w:sz w:val="24"/>
              </w:rPr>
            </w:pPr>
            <w:r>
              <w:rPr>
                <w:rFonts w:hint="eastAsia" w:ascii="仿宋" w:hAnsi="仿宋" w:eastAsia="仿宋"/>
                <w:sz w:val="24"/>
              </w:rPr>
              <w:t>2.1.2</w:t>
            </w:r>
          </w:p>
        </w:tc>
        <w:tc>
          <w:tcPr>
            <w:tcW w:w="988" w:type="dxa"/>
            <w:vMerge w:val="restart"/>
            <w:noWrap w:val="0"/>
            <w:vAlign w:val="center"/>
          </w:tcPr>
          <w:p>
            <w:pPr>
              <w:spacing w:line="380" w:lineRule="exact"/>
              <w:jc w:val="center"/>
              <w:rPr>
                <w:rFonts w:ascii="仿宋" w:hAnsi="仿宋" w:eastAsia="仿宋"/>
                <w:sz w:val="24"/>
              </w:rPr>
            </w:pPr>
            <w:r>
              <w:rPr>
                <w:rFonts w:hint="eastAsia" w:ascii="仿宋" w:hAnsi="仿宋" w:eastAsia="仿宋"/>
                <w:sz w:val="24"/>
              </w:rPr>
              <w:t>符合性评审标准</w:t>
            </w: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文件送达</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申请书逾期送达的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7" w:type="dxa"/>
            <w:vMerge w:val="continue"/>
            <w:noWrap w:val="0"/>
            <w:vAlign w:val="center"/>
          </w:tcPr>
          <w:p>
            <w:pPr>
              <w:spacing w:line="380" w:lineRule="exact"/>
              <w:jc w:val="center"/>
              <w:rPr>
                <w:rFonts w:ascii="仿宋" w:hAnsi="仿宋" w:eastAsia="仿宋"/>
                <w:sz w:val="24"/>
              </w:rPr>
            </w:pPr>
          </w:p>
        </w:tc>
        <w:tc>
          <w:tcPr>
            <w:tcW w:w="988" w:type="dxa"/>
            <w:vMerge w:val="continue"/>
            <w:noWrap w:val="0"/>
            <w:vAlign w:val="center"/>
          </w:tcPr>
          <w:p>
            <w:pPr>
              <w:spacing w:line="380" w:lineRule="exact"/>
              <w:jc w:val="center"/>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rPr>
              <w:t>没有在“报价一览表”中明确报价的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7" w:type="dxa"/>
            <w:vMerge w:val="continue"/>
            <w:noWrap w:val="0"/>
            <w:vAlign w:val="center"/>
          </w:tcPr>
          <w:p>
            <w:pPr>
              <w:spacing w:line="380" w:lineRule="exact"/>
              <w:jc w:val="center"/>
              <w:rPr>
                <w:rFonts w:ascii="仿宋" w:hAnsi="仿宋" w:eastAsia="仿宋"/>
                <w:sz w:val="24"/>
              </w:rPr>
            </w:pPr>
          </w:p>
        </w:tc>
        <w:tc>
          <w:tcPr>
            <w:tcW w:w="988" w:type="dxa"/>
            <w:vMerge w:val="continue"/>
            <w:noWrap w:val="0"/>
            <w:vAlign w:val="center"/>
          </w:tcPr>
          <w:p>
            <w:pPr>
              <w:spacing w:line="380" w:lineRule="exact"/>
              <w:jc w:val="center"/>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文件密封及签署</w:t>
            </w:r>
          </w:p>
        </w:tc>
        <w:tc>
          <w:tcPr>
            <w:tcW w:w="5837" w:type="dxa"/>
            <w:gridSpan w:val="2"/>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申请文件未按要求密封、加盖印章和签名的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文件书写</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申请文件书写潦草、字迹模糊不清难以辨认的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rPr>
              <w:t>授权委托</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rPr>
              <w:t>法定代表人委托代理人参加</w:t>
            </w:r>
            <w:r>
              <w:rPr>
                <w:rFonts w:hint="eastAsia" w:ascii="仿宋" w:hAnsi="仿宋" w:eastAsia="仿宋"/>
                <w:sz w:val="24"/>
                <w:lang w:eastAsia="zh-CN"/>
              </w:rPr>
              <w:t>投标</w:t>
            </w:r>
            <w:r>
              <w:rPr>
                <w:rFonts w:hint="eastAsia" w:ascii="仿宋" w:hAnsi="仿宋" w:eastAsia="仿宋"/>
                <w:sz w:val="24"/>
              </w:rPr>
              <w:t>会，但无法定代表人签署的授权委托书的；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申请单位递交两个或多个内容不同的报价，且未声明哪一个有效；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rPr>
              <w:t>其他</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rPr>
              <w:t>法律法规规定的其他内容或</w:t>
            </w:r>
            <w:r>
              <w:rPr>
                <w:rFonts w:hint="eastAsia" w:ascii="仿宋" w:hAnsi="仿宋" w:eastAsia="仿宋"/>
                <w:sz w:val="24"/>
                <w:lang w:eastAsia="zh-CN"/>
              </w:rPr>
              <w:t>投标</w:t>
            </w:r>
            <w:r>
              <w:rPr>
                <w:rFonts w:hint="eastAsia" w:ascii="仿宋" w:hAnsi="仿宋" w:eastAsia="仿宋"/>
                <w:sz w:val="24"/>
              </w:rPr>
              <w:t>文件规定的其他内容。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827" w:type="dxa"/>
            <w:vMerge w:val="restart"/>
            <w:noWrap w:val="0"/>
            <w:vAlign w:val="center"/>
          </w:tcPr>
          <w:p>
            <w:pPr>
              <w:spacing w:line="380" w:lineRule="exact"/>
              <w:rPr>
                <w:rFonts w:ascii="仿宋" w:hAnsi="仿宋" w:eastAsia="仿宋"/>
                <w:sz w:val="24"/>
              </w:rPr>
            </w:pPr>
            <w:r>
              <w:rPr>
                <w:rFonts w:hint="eastAsia" w:ascii="仿宋" w:hAnsi="仿宋" w:eastAsia="仿宋"/>
                <w:sz w:val="24"/>
              </w:rPr>
              <w:t>2.2</w:t>
            </w:r>
          </w:p>
        </w:tc>
        <w:tc>
          <w:tcPr>
            <w:tcW w:w="988" w:type="dxa"/>
            <w:vMerge w:val="restart"/>
            <w:noWrap w:val="0"/>
            <w:vAlign w:val="center"/>
          </w:tcPr>
          <w:p>
            <w:pPr>
              <w:spacing w:line="380" w:lineRule="exact"/>
              <w:rPr>
                <w:rFonts w:ascii="仿宋" w:hAnsi="仿宋" w:eastAsia="仿宋"/>
                <w:sz w:val="24"/>
              </w:rPr>
            </w:pPr>
            <w:r>
              <w:rPr>
                <w:rFonts w:hint="eastAsia" w:ascii="仿宋" w:hAnsi="仿宋" w:eastAsia="仿宋"/>
                <w:sz w:val="24"/>
              </w:rPr>
              <w:t>详细评审标准</w:t>
            </w:r>
          </w:p>
        </w:tc>
        <w:tc>
          <w:tcPr>
            <w:tcW w:w="425" w:type="dxa"/>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1</w:t>
            </w:r>
          </w:p>
        </w:tc>
        <w:tc>
          <w:tcPr>
            <w:tcW w:w="1248" w:type="dxa"/>
            <w:noWrap w:val="0"/>
            <w:vAlign w:val="center"/>
          </w:tcPr>
          <w:p>
            <w:pPr>
              <w:snapToGrid w:val="0"/>
              <w:spacing w:line="380" w:lineRule="exact"/>
              <w:rPr>
                <w:rFonts w:ascii="仿宋" w:hAnsi="仿宋" w:eastAsia="仿宋" w:cs="宋体"/>
                <w:sz w:val="24"/>
              </w:rPr>
            </w:pPr>
            <w:r>
              <w:rPr>
                <w:rFonts w:hint="eastAsia" w:ascii="仿宋" w:hAnsi="仿宋" w:eastAsia="仿宋"/>
                <w:sz w:val="24"/>
              </w:rPr>
              <w:t>评标总得分</w:t>
            </w:r>
          </w:p>
        </w:tc>
        <w:tc>
          <w:tcPr>
            <w:tcW w:w="853" w:type="dxa"/>
            <w:noWrap w:val="0"/>
            <w:vAlign w:val="center"/>
          </w:tcPr>
          <w:p>
            <w:pPr>
              <w:spacing w:line="380" w:lineRule="exact"/>
              <w:jc w:val="center"/>
              <w:rPr>
                <w:rFonts w:ascii="仿宋" w:hAnsi="仿宋" w:eastAsia="仿宋" w:cs="宋体"/>
                <w:sz w:val="24"/>
              </w:rPr>
            </w:pPr>
            <w:r>
              <w:rPr>
                <w:rFonts w:hint="eastAsia" w:ascii="仿宋" w:hAnsi="仿宋" w:eastAsia="仿宋" w:cs="宋体"/>
                <w:sz w:val="24"/>
              </w:rPr>
              <w:t>100</w:t>
            </w:r>
          </w:p>
        </w:tc>
        <w:tc>
          <w:tcPr>
            <w:tcW w:w="5837" w:type="dxa"/>
            <w:gridSpan w:val="2"/>
            <w:noWrap w:val="0"/>
            <w:vAlign w:val="center"/>
          </w:tcPr>
          <w:p>
            <w:pPr>
              <w:snapToGrid w:val="0"/>
              <w:spacing w:line="380" w:lineRule="exact"/>
              <w:jc w:val="left"/>
              <w:rPr>
                <w:rFonts w:ascii="仿宋" w:hAnsi="仿宋" w:eastAsia="仿宋"/>
                <w:sz w:val="24"/>
              </w:rPr>
            </w:pPr>
            <w:r>
              <w:rPr>
                <w:rFonts w:ascii="仿宋" w:hAnsi="仿宋" w:eastAsia="仿宋"/>
                <w:sz w:val="24"/>
              </w:rPr>
              <w:t>供应商的评标总得分</w:t>
            </w:r>
            <w:r>
              <w:rPr>
                <w:rFonts w:hint="eastAsia" w:ascii="仿宋" w:hAnsi="仿宋" w:eastAsia="仿宋"/>
                <w:sz w:val="24"/>
              </w:rPr>
              <w:t>满分100分，</w:t>
            </w:r>
          </w:p>
          <w:p>
            <w:pPr>
              <w:snapToGrid w:val="0"/>
              <w:spacing w:line="380" w:lineRule="exact"/>
              <w:jc w:val="left"/>
              <w:rPr>
                <w:rFonts w:ascii="仿宋" w:hAnsi="仿宋" w:eastAsia="仿宋"/>
                <w:sz w:val="24"/>
              </w:rPr>
            </w:pPr>
            <w:r>
              <w:rPr>
                <w:rFonts w:ascii="仿宋" w:hAnsi="仿宋" w:eastAsia="仿宋"/>
                <w:sz w:val="24"/>
              </w:rPr>
              <w:t>供应商的评标总得分</w:t>
            </w:r>
            <w:r>
              <w:rPr>
                <w:rFonts w:hint="eastAsia" w:ascii="仿宋" w:hAnsi="仿宋" w:eastAsia="仿宋"/>
                <w:sz w:val="24"/>
              </w:rPr>
              <w:t>=</w:t>
            </w:r>
            <w:r>
              <w:rPr>
                <w:rFonts w:ascii="仿宋" w:hAnsi="仿宋" w:eastAsia="仿宋"/>
                <w:sz w:val="24"/>
              </w:rPr>
              <w:t xml:space="preserve"> F1</w:t>
            </w:r>
            <w:r>
              <w:rPr>
                <w:rFonts w:hint="eastAsia" w:ascii="仿宋" w:hAnsi="仿宋" w:eastAsia="仿宋"/>
                <w:sz w:val="24"/>
              </w:rPr>
              <w:t>+</w:t>
            </w:r>
            <w:r>
              <w:rPr>
                <w:rFonts w:ascii="仿宋" w:hAnsi="仿宋" w:eastAsia="仿宋"/>
                <w:sz w:val="24"/>
              </w:rPr>
              <w:t>F2</w:t>
            </w:r>
            <w:r>
              <w:rPr>
                <w:rFonts w:hint="eastAsia" w:ascii="仿宋" w:hAnsi="仿宋" w:eastAsia="仿宋"/>
                <w:sz w:val="24"/>
              </w:rPr>
              <w:t>+F3（F1满分10分、F2满分60分、F3满分30分）</w:t>
            </w:r>
          </w:p>
          <w:p>
            <w:pPr>
              <w:snapToGrid w:val="0"/>
              <w:spacing w:line="380" w:lineRule="exact"/>
              <w:jc w:val="left"/>
              <w:rPr>
                <w:rFonts w:ascii="仿宋" w:hAnsi="仿宋" w:eastAsia="仿宋"/>
                <w:sz w:val="24"/>
              </w:rPr>
            </w:pPr>
            <w:r>
              <w:rPr>
                <w:rFonts w:ascii="仿宋" w:hAnsi="仿宋" w:eastAsia="仿宋"/>
                <w:sz w:val="24"/>
              </w:rPr>
              <w:t>F1、F2、F3分别为</w:t>
            </w:r>
            <w:r>
              <w:rPr>
                <w:rFonts w:hint="eastAsia" w:ascii="仿宋" w:hAnsi="仿宋" w:eastAsia="仿宋"/>
                <w:sz w:val="24"/>
                <w:lang w:eastAsia="zh-CN"/>
              </w:rPr>
              <w:t>投标</w:t>
            </w:r>
            <w:r>
              <w:rPr>
                <w:rFonts w:ascii="仿宋" w:hAnsi="仿宋" w:eastAsia="仿宋"/>
                <w:sz w:val="24"/>
              </w:rPr>
              <w:t>报价、技术部分、</w:t>
            </w:r>
            <w:r>
              <w:rPr>
                <w:rFonts w:hint="eastAsia" w:ascii="仿宋" w:hAnsi="仿宋" w:eastAsia="仿宋"/>
                <w:sz w:val="24"/>
              </w:rPr>
              <w:t>商务部分</w:t>
            </w:r>
            <w:r>
              <w:rPr>
                <w:rFonts w:ascii="仿宋" w:hAnsi="仿宋" w:eastAsia="仿宋"/>
                <w:sz w:val="24"/>
              </w:rPr>
              <w:t>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425" w:type="dxa"/>
            <w:tcBorders>
              <w:bottom w:val="single" w:color="auto" w:sz="4" w:space="0"/>
            </w:tcBorders>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2</w:t>
            </w:r>
          </w:p>
        </w:tc>
        <w:tc>
          <w:tcPr>
            <w:tcW w:w="1248" w:type="dxa"/>
            <w:tcBorders>
              <w:bottom w:val="single" w:color="auto" w:sz="4" w:space="0"/>
            </w:tcBorders>
            <w:noWrap w:val="0"/>
            <w:vAlign w:val="center"/>
          </w:tcPr>
          <w:p>
            <w:pPr>
              <w:snapToGrid w:val="0"/>
              <w:spacing w:line="380" w:lineRule="exact"/>
              <w:rPr>
                <w:rFonts w:ascii="仿宋" w:hAnsi="仿宋" w:eastAsia="仿宋" w:cs="宋体"/>
                <w:sz w:val="24"/>
              </w:rPr>
            </w:pPr>
            <w:r>
              <w:rPr>
                <w:rFonts w:hint="eastAsia" w:ascii="仿宋" w:hAnsi="仿宋" w:eastAsia="仿宋"/>
                <w:sz w:val="24"/>
              </w:rPr>
              <w:t>投标报价评分F1</w:t>
            </w:r>
          </w:p>
        </w:tc>
        <w:tc>
          <w:tcPr>
            <w:tcW w:w="853" w:type="dxa"/>
            <w:tcBorders>
              <w:bottom w:val="single" w:color="auto" w:sz="4" w:space="0"/>
            </w:tcBorders>
            <w:noWrap w:val="0"/>
            <w:vAlign w:val="center"/>
          </w:tcPr>
          <w:p>
            <w:pPr>
              <w:spacing w:line="380" w:lineRule="exact"/>
              <w:jc w:val="center"/>
              <w:rPr>
                <w:rFonts w:ascii="仿宋" w:hAnsi="仿宋" w:eastAsia="仿宋" w:cs="宋体"/>
                <w:sz w:val="24"/>
              </w:rPr>
            </w:pPr>
            <w:r>
              <w:rPr>
                <w:rFonts w:hint="eastAsia" w:ascii="仿宋" w:hAnsi="仿宋" w:eastAsia="仿宋" w:cs="宋体"/>
                <w:sz w:val="24"/>
              </w:rPr>
              <w:t>满分10</w:t>
            </w:r>
            <w:r>
              <w:rPr>
                <w:rFonts w:ascii="仿宋" w:hAnsi="仿宋" w:eastAsia="仿宋" w:cs="宋体"/>
                <w:sz w:val="24"/>
              </w:rPr>
              <w:t>分</w:t>
            </w:r>
          </w:p>
        </w:tc>
        <w:tc>
          <w:tcPr>
            <w:tcW w:w="5837" w:type="dxa"/>
            <w:gridSpan w:val="2"/>
            <w:tcBorders>
              <w:bottom w:val="single" w:color="auto" w:sz="4" w:space="0"/>
            </w:tcBorders>
            <w:noWrap w:val="0"/>
            <w:vAlign w:val="center"/>
          </w:tcPr>
          <w:p>
            <w:pPr>
              <w:adjustRightInd w:val="0"/>
              <w:snapToGrid w:val="0"/>
              <w:spacing w:line="380" w:lineRule="exact"/>
              <w:jc w:val="left"/>
              <w:rPr>
                <w:rFonts w:ascii="仿宋" w:hAnsi="仿宋" w:eastAsia="仿宋"/>
                <w:sz w:val="24"/>
              </w:rPr>
            </w:pPr>
            <w:r>
              <w:rPr>
                <w:rFonts w:hint="eastAsia" w:ascii="仿宋" w:hAnsi="仿宋" w:eastAsia="仿宋"/>
                <w:sz w:val="24"/>
              </w:rPr>
              <w:t>报价评分采用低价优先法计算，即满足</w:t>
            </w:r>
            <w:r>
              <w:rPr>
                <w:rFonts w:hint="eastAsia" w:ascii="仿宋" w:hAnsi="仿宋" w:eastAsia="仿宋"/>
                <w:sz w:val="24"/>
                <w:lang w:eastAsia="zh-CN"/>
              </w:rPr>
              <w:t>投标</w:t>
            </w:r>
            <w:r>
              <w:rPr>
                <w:rFonts w:hint="eastAsia" w:ascii="仿宋" w:hAnsi="仿宋" w:eastAsia="仿宋"/>
                <w:sz w:val="24"/>
              </w:rPr>
              <w:t>文件要求且最后报价最低的供应商的价格为</w:t>
            </w:r>
            <w:r>
              <w:rPr>
                <w:rFonts w:hint="eastAsia" w:ascii="仿宋" w:hAnsi="仿宋" w:eastAsia="仿宋"/>
                <w:sz w:val="24"/>
                <w:lang w:eastAsia="zh-CN"/>
              </w:rPr>
              <w:t>投标</w:t>
            </w:r>
            <w:r>
              <w:rPr>
                <w:rFonts w:hint="eastAsia" w:ascii="仿宋" w:hAnsi="仿宋" w:eastAsia="仿宋"/>
                <w:sz w:val="24"/>
              </w:rPr>
              <w:t>基准价，其报价分为满分。其他供应商的报价分统一按照下列公式计算：</w:t>
            </w:r>
          </w:p>
          <w:p>
            <w:pPr>
              <w:adjustRightInd w:val="0"/>
              <w:snapToGrid w:val="0"/>
              <w:spacing w:line="380" w:lineRule="exact"/>
              <w:jc w:val="left"/>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报价得分=（</w:t>
            </w:r>
            <w:r>
              <w:rPr>
                <w:rFonts w:hint="eastAsia" w:ascii="仿宋" w:hAnsi="仿宋" w:eastAsia="仿宋"/>
                <w:sz w:val="24"/>
                <w:lang w:eastAsia="zh-CN"/>
              </w:rPr>
              <w:t>投标</w:t>
            </w:r>
            <w:r>
              <w:rPr>
                <w:rFonts w:hint="eastAsia" w:ascii="仿宋" w:hAnsi="仿宋" w:eastAsia="仿宋"/>
                <w:sz w:val="24"/>
              </w:rPr>
              <w:t>基准价/最后</w:t>
            </w:r>
            <w:r>
              <w:rPr>
                <w:rFonts w:hint="eastAsia" w:ascii="仿宋" w:hAnsi="仿宋" w:eastAsia="仿宋"/>
                <w:sz w:val="24"/>
                <w:lang w:eastAsia="zh-CN"/>
              </w:rPr>
              <w:t>投标</w:t>
            </w:r>
            <w:r>
              <w:rPr>
                <w:rFonts w:hint="eastAsia" w:ascii="仿宋" w:hAnsi="仿宋" w:eastAsia="仿宋"/>
                <w:sz w:val="24"/>
              </w:rPr>
              <w:t>报价）*10</w:t>
            </w:r>
          </w:p>
          <w:p>
            <w:pPr>
              <w:adjustRightInd w:val="0"/>
              <w:snapToGrid w:val="0"/>
              <w:spacing w:line="380" w:lineRule="exact"/>
              <w:jc w:val="left"/>
              <w:rPr>
                <w:rFonts w:ascii="仿宋" w:hAnsi="仿宋" w:eastAsia="仿宋"/>
                <w:sz w:val="24"/>
              </w:rPr>
            </w:pPr>
            <w:r>
              <w:rPr>
                <w:rFonts w:hint="eastAsia" w:ascii="仿宋" w:hAnsi="仿宋" w:eastAsia="仿宋"/>
                <w:sz w:val="24"/>
              </w:rPr>
              <w:t>即：F1=C/（B1，B2，…，Bn）</w:t>
            </w:r>
          </w:p>
          <w:p>
            <w:pPr>
              <w:adjustRightInd w:val="0"/>
              <w:snapToGrid w:val="0"/>
              <w:spacing w:line="380" w:lineRule="exact"/>
              <w:jc w:val="left"/>
              <w:rPr>
                <w:rFonts w:ascii="仿宋" w:hAnsi="仿宋" w:eastAsia="仿宋"/>
                <w:sz w:val="24"/>
              </w:rPr>
            </w:pPr>
            <w:r>
              <w:rPr>
                <w:rFonts w:hint="eastAsia" w:ascii="仿宋" w:hAnsi="仿宋" w:eastAsia="仿宋"/>
                <w:sz w:val="24"/>
              </w:rPr>
              <w:t>注：</w:t>
            </w:r>
          </w:p>
          <w:p>
            <w:pPr>
              <w:adjustRightInd w:val="0"/>
              <w:snapToGrid w:val="0"/>
              <w:spacing w:line="380" w:lineRule="exact"/>
              <w:jc w:val="left"/>
              <w:rPr>
                <w:rFonts w:ascii="仿宋" w:hAnsi="仿宋" w:eastAsia="仿宋"/>
                <w:sz w:val="24"/>
              </w:rPr>
            </w:pPr>
            <w:r>
              <w:rPr>
                <w:rFonts w:hint="eastAsia" w:ascii="仿宋" w:hAnsi="仿宋" w:eastAsia="仿宋"/>
                <w:sz w:val="24"/>
              </w:rPr>
              <w:t>1）C为</w:t>
            </w:r>
            <w:r>
              <w:rPr>
                <w:rFonts w:hint="eastAsia" w:ascii="仿宋" w:hAnsi="仿宋" w:eastAsia="仿宋"/>
                <w:sz w:val="24"/>
                <w:lang w:eastAsia="zh-CN"/>
              </w:rPr>
              <w:t>投标</w:t>
            </w:r>
            <w:r>
              <w:rPr>
                <w:rFonts w:hint="eastAsia" w:ascii="仿宋" w:hAnsi="仿宋" w:eastAsia="仿宋"/>
                <w:sz w:val="24"/>
              </w:rPr>
              <w:t>基准价，即满足</w:t>
            </w:r>
            <w:r>
              <w:rPr>
                <w:rFonts w:hint="eastAsia" w:ascii="仿宋" w:hAnsi="仿宋" w:eastAsia="仿宋"/>
                <w:sz w:val="24"/>
                <w:lang w:eastAsia="zh-CN"/>
              </w:rPr>
              <w:t>投标</w:t>
            </w:r>
            <w:r>
              <w:rPr>
                <w:rFonts w:hint="eastAsia" w:ascii="仿宋" w:hAnsi="仿宋" w:eastAsia="仿宋"/>
                <w:sz w:val="24"/>
              </w:rPr>
              <w:t>文件要求且最后报价最低的供应商的价格为</w:t>
            </w:r>
            <w:r>
              <w:rPr>
                <w:rFonts w:hint="eastAsia" w:ascii="仿宋" w:hAnsi="仿宋" w:eastAsia="仿宋"/>
                <w:sz w:val="24"/>
                <w:lang w:eastAsia="zh-CN"/>
              </w:rPr>
              <w:t>投标</w:t>
            </w:r>
            <w:r>
              <w:rPr>
                <w:rFonts w:hint="eastAsia" w:ascii="仿宋" w:hAnsi="仿宋" w:eastAsia="仿宋"/>
                <w:sz w:val="24"/>
              </w:rPr>
              <w:t>基准价；</w:t>
            </w:r>
          </w:p>
          <w:p>
            <w:pPr>
              <w:adjustRightInd w:val="0"/>
              <w:snapToGrid w:val="0"/>
              <w:spacing w:line="380" w:lineRule="exact"/>
              <w:jc w:val="left"/>
              <w:rPr>
                <w:rFonts w:ascii="仿宋" w:hAnsi="仿宋" w:eastAsia="仿宋"/>
                <w:sz w:val="24"/>
              </w:rPr>
            </w:pPr>
            <w:r>
              <w:rPr>
                <w:rFonts w:hint="eastAsia" w:ascii="仿宋" w:hAnsi="仿宋" w:eastAsia="仿宋"/>
                <w:sz w:val="24"/>
              </w:rPr>
              <w:t>2）B1，B2，…，Bn为第n个经实质性审查合格的最后报价。</w:t>
            </w:r>
          </w:p>
          <w:p>
            <w:pPr>
              <w:adjustRightInd w:val="0"/>
              <w:snapToGrid w:val="0"/>
              <w:spacing w:line="380" w:lineRule="exact"/>
              <w:jc w:val="left"/>
              <w:rPr>
                <w:rFonts w:ascii="仿宋" w:hAnsi="仿宋" w:eastAsia="仿宋"/>
                <w:sz w:val="24"/>
              </w:rPr>
            </w:pPr>
            <w:r>
              <w:rPr>
                <w:rFonts w:hint="eastAsia" w:ascii="仿宋" w:hAnsi="仿宋" w:eastAsia="仿宋"/>
                <w:sz w:val="24"/>
              </w:rPr>
              <w:t>2、最终报价超预算或</w:t>
            </w:r>
            <w:r>
              <w:rPr>
                <w:rFonts w:hint="eastAsia" w:ascii="仿宋" w:hAnsi="仿宋" w:eastAsia="仿宋"/>
                <w:sz w:val="24"/>
                <w:lang w:eastAsia="zh-CN"/>
              </w:rPr>
              <w:t>投标</w:t>
            </w:r>
            <w:r>
              <w:rPr>
                <w:rFonts w:hint="eastAsia" w:ascii="仿宋" w:hAnsi="仿宋" w:eastAsia="仿宋"/>
                <w:sz w:val="24"/>
              </w:rPr>
              <w:t>小组认定属于恶意低价的，此项得分为零。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7" w:type="dxa"/>
            <w:vMerge w:val="restart"/>
            <w:shd w:val="clear" w:color="auto" w:fill="auto"/>
            <w:noWrap w:val="0"/>
            <w:vAlign w:val="center"/>
          </w:tcPr>
          <w:p>
            <w:pPr>
              <w:spacing w:line="380" w:lineRule="exact"/>
              <w:rPr>
                <w:rFonts w:ascii="仿宋" w:hAnsi="仿宋" w:eastAsia="仿宋"/>
                <w:sz w:val="24"/>
              </w:rPr>
            </w:pPr>
            <w:r>
              <w:rPr>
                <w:rFonts w:hint="eastAsia" w:ascii="仿宋" w:hAnsi="仿宋" w:eastAsia="仿宋"/>
                <w:sz w:val="24"/>
              </w:rPr>
              <w:t>2.2</w:t>
            </w:r>
          </w:p>
        </w:tc>
        <w:tc>
          <w:tcPr>
            <w:tcW w:w="988" w:type="dxa"/>
            <w:vMerge w:val="restart"/>
            <w:shd w:val="clear" w:color="auto" w:fill="auto"/>
            <w:noWrap w:val="0"/>
            <w:vAlign w:val="center"/>
          </w:tcPr>
          <w:p>
            <w:pPr>
              <w:spacing w:line="380" w:lineRule="exact"/>
              <w:rPr>
                <w:rFonts w:ascii="仿宋" w:hAnsi="仿宋" w:eastAsia="仿宋"/>
                <w:sz w:val="24"/>
              </w:rPr>
            </w:pPr>
            <w:r>
              <w:rPr>
                <w:rFonts w:hint="eastAsia" w:ascii="仿宋" w:hAnsi="仿宋" w:eastAsia="仿宋"/>
                <w:sz w:val="24"/>
              </w:rPr>
              <w:t>详细评审标准</w:t>
            </w:r>
          </w:p>
        </w:tc>
        <w:tc>
          <w:tcPr>
            <w:tcW w:w="425" w:type="dxa"/>
            <w:vMerge w:val="restart"/>
            <w:shd w:val="clear" w:color="auto" w:fill="FFFFFF"/>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3</w:t>
            </w:r>
          </w:p>
        </w:tc>
        <w:tc>
          <w:tcPr>
            <w:tcW w:w="1248" w:type="dxa"/>
            <w:vMerge w:val="restart"/>
            <w:shd w:val="clear" w:color="auto" w:fill="FFFFFF"/>
            <w:noWrap w:val="0"/>
            <w:vAlign w:val="center"/>
          </w:tcPr>
          <w:p>
            <w:pPr>
              <w:snapToGrid w:val="0"/>
              <w:spacing w:line="380" w:lineRule="exact"/>
              <w:jc w:val="center"/>
              <w:rPr>
                <w:rFonts w:ascii="仿宋" w:hAnsi="仿宋" w:eastAsia="仿宋" w:cs="宋体"/>
                <w:sz w:val="24"/>
              </w:rPr>
            </w:pPr>
            <w:r>
              <w:rPr>
                <w:rFonts w:hint="eastAsia" w:ascii="仿宋" w:hAnsi="仿宋" w:eastAsia="仿宋"/>
                <w:sz w:val="24"/>
              </w:rPr>
              <w:t>技术部分评分F2</w:t>
            </w:r>
          </w:p>
        </w:tc>
        <w:tc>
          <w:tcPr>
            <w:tcW w:w="853" w:type="dxa"/>
            <w:vMerge w:val="restart"/>
            <w:shd w:val="clear" w:color="auto" w:fill="FFFFFF"/>
            <w:noWrap w:val="0"/>
            <w:vAlign w:val="center"/>
          </w:tcPr>
          <w:p>
            <w:pPr>
              <w:spacing w:line="380" w:lineRule="exact"/>
              <w:jc w:val="center"/>
              <w:rPr>
                <w:rFonts w:hint="eastAsia" w:ascii="仿宋" w:hAnsi="仿宋" w:eastAsia="仿宋" w:cs="宋体"/>
                <w:sz w:val="24"/>
              </w:rPr>
            </w:pPr>
            <w:r>
              <w:rPr>
                <w:rFonts w:hint="eastAsia" w:ascii="仿宋" w:hAnsi="仿宋" w:eastAsia="仿宋" w:cs="宋体"/>
                <w:sz w:val="24"/>
              </w:rPr>
              <w:t>满分60</w:t>
            </w:r>
          </w:p>
          <w:p>
            <w:pPr>
              <w:spacing w:line="380" w:lineRule="exact"/>
              <w:jc w:val="center"/>
              <w:rPr>
                <w:rFonts w:ascii="仿宋" w:hAnsi="仿宋" w:eastAsia="仿宋" w:cs="宋体"/>
                <w:sz w:val="24"/>
              </w:rPr>
            </w:pPr>
            <w:r>
              <w:rPr>
                <w:rFonts w:ascii="仿宋" w:hAnsi="仿宋" w:eastAsia="仿宋" w:cs="宋体"/>
                <w:sz w:val="24"/>
              </w:rPr>
              <w:t>分</w:t>
            </w:r>
          </w:p>
        </w:tc>
        <w:tc>
          <w:tcPr>
            <w:tcW w:w="1162" w:type="dxa"/>
            <w:shd w:val="clear" w:color="auto" w:fill="FFFFFF"/>
            <w:noWrap w:val="0"/>
            <w:vAlign w:val="center"/>
          </w:tcPr>
          <w:p>
            <w:pPr>
              <w:spacing w:line="380" w:lineRule="exact"/>
              <w:rPr>
                <w:rFonts w:hint="eastAsia" w:ascii="仿宋" w:hAnsi="仿宋" w:eastAsia="仿宋"/>
                <w:kern w:val="0"/>
                <w:sz w:val="24"/>
              </w:rPr>
            </w:pPr>
            <w:r>
              <w:rPr>
                <w:rFonts w:hint="eastAsia" w:ascii="仿宋" w:hAnsi="仿宋" w:eastAsia="仿宋"/>
                <w:kern w:val="0"/>
                <w:sz w:val="24"/>
              </w:rPr>
              <w:t>服务体系、规范化管理体系</w:t>
            </w:r>
          </w:p>
          <w:p>
            <w:pPr>
              <w:spacing w:line="380" w:lineRule="exact"/>
              <w:rPr>
                <w:rFonts w:ascii="仿宋" w:hAnsi="仿宋" w:eastAsia="仿宋"/>
                <w:kern w:val="0"/>
                <w:sz w:val="24"/>
              </w:rPr>
            </w:pPr>
            <w:r>
              <w:rPr>
                <w:rFonts w:hint="eastAsia" w:ascii="仿宋" w:hAnsi="仿宋" w:eastAsia="仿宋"/>
                <w:kern w:val="0"/>
                <w:sz w:val="24"/>
              </w:rPr>
              <w:t>（满分10分）</w:t>
            </w:r>
          </w:p>
        </w:tc>
        <w:tc>
          <w:tcPr>
            <w:tcW w:w="4675" w:type="dxa"/>
            <w:shd w:val="clear" w:color="auto" w:fill="FFFFFF"/>
            <w:noWrap w:val="0"/>
            <w:vAlign w:val="center"/>
          </w:tcPr>
          <w:p>
            <w:pPr>
              <w:spacing w:line="380" w:lineRule="exact"/>
              <w:rPr>
                <w:rFonts w:hint="eastAsia" w:ascii="仿宋" w:hAnsi="仿宋" w:eastAsia="仿宋"/>
                <w:sz w:val="24"/>
              </w:rPr>
            </w:pPr>
            <w:r>
              <w:rPr>
                <w:rFonts w:hint="eastAsia" w:ascii="仿宋" w:hAnsi="仿宋" w:eastAsia="仿宋"/>
                <w:sz w:val="24"/>
              </w:rPr>
              <w:t>第一个档次（8-10分）：服务体系、规范化管理体系优，有相应详细的企业内部管理架构及管理措施，保障方案的可行且符合实际，经</w:t>
            </w:r>
            <w:r>
              <w:rPr>
                <w:rFonts w:hint="eastAsia" w:ascii="仿宋" w:hAnsi="仿宋" w:eastAsia="仿宋"/>
                <w:sz w:val="24"/>
                <w:lang w:eastAsia="zh-CN"/>
              </w:rPr>
              <w:t>投标</w:t>
            </w:r>
            <w:r>
              <w:rPr>
                <w:rFonts w:hint="eastAsia" w:ascii="仿宋" w:hAnsi="仿宋" w:eastAsia="仿宋"/>
                <w:sz w:val="24"/>
              </w:rPr>
              <w:t>小组认可，总体评价优秀</w:t>
            </w:r>
            <w:r>
              <w:rPr>
                <w:rFonts w:ascii="仿宋" w:hAnsi="仿宋" w:eastAsia="仿宋"/>
                <w:sz w:val="24"/>
              </w:rPr>
              <w:t xml:space="preserve"> </w:t>
            </w:r>
            <w:r>
              <w:rPr>
                <w:rFonts w:hint="eastAsia" w:ascii="仿宋" w:hAnsi="仿宋" w:eastAsia="仿宋"/>
                <w:sz w:val="24"/>
              </w:rPr>
              <w:t>；</w:t>
            </w:r>
          </w:p>
          <w:p>
            <w:pPr>
              <w:spacing w:line="380" w:lineRule="exact"/>
              <w:rPr>
                <w:rFonts w:hint="eastAsia" w:ascii="仿宋" w:hAnsi="仿宋" w:eastAsia="仿宋"/>
                <w:sz w:val="24"/>
              </w:rPr>
            </w:pPr>
            <w:r>
              <w:rPr>
                <w:rFonts w:hint="eastAsia" w:ascii="仿宋" w:hAnsi="仿宋" w:eastAsia="仿宋"/>
                <w:sz w:val="24"/>
              </w:rPr>
              <w:t>第二个档次（5-7分）：企业内部管理架构完善，内部管理质量保障措施及日常考核内容完整且可行性强，针对性强，经</w:t>
            </w:r>
            <w:r>
              <w:rPr>
                <w:rFonts w:hint="eastAsia" w:ascii="仿宋" w:hAnsi="仿宋" w:eastAsia="仿宋"/>
                <w:sz w:val="24"/>
                <w:lang w:eastAsia="zh-CN"/>
              </w:rPr>
              <w:t>投标</w:t>
            </w:r>
            <w:r>
              <w:rPr>
                <w:rFonts w:hint="eastAsia" w:ascii="仿宋" w:hAnsi="仿宋" w:eastAsia="仿宋"/>
                <w:sz w:val="24"/>
              </w:rPr>
              <w:t>小组认可，总体评价良好；</w:t>
            </w:r>
          </w:p>
          <w:p>
            <w:pPr>
              <w:spacing w:line="380" w:lineRule="exact"/>
              <w:rPr>
                <w:rFonts w:hint="eastAsia" w:ascii="仿宋" w:hAnsi="仿宋" w:eastAsia="仿宋"/>
                <w:sz w:val="24"/>
              </w:rPr>
            </w:pPr>
            <w:r>
              <w:rPr>
                <w:rFonts w:hint="eastAsia" w:ascii="仿宋" w:hAnsi="仿宋" w:eastAsia="仿宋"/>
                <w:sz w:val="24"/>
              </w:rPr>
              <w:t>第三个档次（2-4分）：企业内部管理架构一般，内部管理质量保障措施及日常考核合理性一般，可行性一般；</w:t>
            </w:r>
          </w:p>
          <w:p>
            <w:pPr>
              <w:spacing w:line="380" w:lineRule="exact"/>
              <w:rPr>
                <w:rFonts w:ascii="仿宋" w:hAnsi="仿宋" w:eastAsia="仿宋"/>
                <w:sz w:val="24"/>
              </w:rPr>
            </w:pPr>
            <w:r>
              <w:rPr>
                <w:rFonts w:hint="eastAsia" w:ascii="仿宋" w:hAnsi="仿宋" w:eastAsia="仿宋"/>
                <w:sz w:val="24"/>
              </w:rPr>
              <w:t>第四个档次（0-1分）：企业内部管理架构一般，内部管理质量保障措施及日常考核合理性差，可行性差。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实施方案（满分30分）</w:t>
            </w:r>
          </w:p>
        </w:tc>
        <w:tc>
          <w:tcPr>
            <w:tcW w:w="4675" w:type="dxa"/>
            <w:shd w:val="clear" w:color="auto" w:fill="FFFFFF"/>
            <w:noWrap w:val="0"/>
            <w:vAlign w:val="center"/>
          </w:tcPr>
          <w:p>
            <w:pPr>
              <w:pStyle w:val="15"/>
              <w:spacing w:line="380" w:lineRule="exact"/>
              <w:jc w:val="both"/>
              <w:rPr>
                <w:rFonts w:hint="eastAsia" w:hAnsi="仿宋"/>
              </w:rPr>
            </w:pPr>
            <w:r>
              <w:rPr>
                <w:rFonts w:hAnsi="仿宋"/>
              </w:rPr>
              <w:t>由</w:t>
            </w:r>
            <w:r>
              <w:rPr>
                <w:rFonts w:hint="eastAsia" w:hAnsi="仿宋"/>
                <w:lang w:eastAsia="zh-CN"/>
              </w:rPr>
              <w:t>投标</w:t>
            </w:r>
            <w:r>
              <w:rPr>
                <w:rFonts w:hAnsi="仿宋"/>
              </w:rPr>
              <w:t>小组根据各供应商提供的针对本项目的项目实施方案内容进行横向比对，综合评定，统一确定各供应商进档划分，各评委在相应的档次内独立打分。</w:t>
            </w:r>
          </w:p>
          <w:p>
            <w:pPr>
              <w:spacing w:line="380" w:lineRule="exact"/>
              <w:rPr>
                <w:rFonts w:ascii="仿宋" w:hAnsi="仿宋" w:eastAsia="仿宋"/>
                <w:sz w:val="24"/>
              </w:rPr>
            </w:pPr>
            <w:r>
              <w:rPr>
                <w:rFonts w:hint="eastAsia" w:ascii="仿宋" w:hAnsi="仿宋" w:eastAsia="仿宋"/>
                <w:sz w:val="24"/>
              </w:rPr>
              <w:t>第一个档次（21</w:t>
            </w:r>
            <w:r>
              <w:rPr>
                <w:rFonts w:ascii="仿宋" w:hAnsi="仿宋" w:eastAsia="仿宋"/>
                <w:sz w:val="24"/>
              </w:rPr>
              <w:t>-</w:t>
            </w:r>
            <w:r>
              <w:rPr>
                <w:rFonts w:hint="eastAsia" w:ascii="仿宋" w:hAnsi="仿宋" w:eastAsia="仿宋"/>
                <w:sz w:val="24"/>
              </w:rPr>
              <w:t>30）分：服务方案或计划思路清晰，覆盖范围全面、合理，服务方案细致、可行，对采购单位案件理解深刻；</w:t>
            </w:r>
          </w:p>
          <w:p>
            <w:pPr>
              <w:spacing w:line="380" w:lineRule="exact"/>
              <w:rPr>
                <w:rFonts w:ascii="仿宋" w:hAnsi="仿宋" w:eastAsia="仿宋"/>
                <w:sz w:val="24"/>
              </w:rPr>
            </w:pPr>
            <w:r>
              <w:rPr>
                <w:rFonts w:hint="eastAsia" w:ascii="仿宋" w:hAnsi="仿宋" w:eastAsia="仿宋"/>
                <w:sz w:val="24"/>
              </w:rPr>
              <w:t>第二个档次（11</w:t>
            </w:r>
            <w:r>
              <w:rPr>
                <w:rFonts w:ascii="仿宋" w:hAnsi="仿宋" w:eastAsia="仿宋"/>
                <w:sz w:val="24"/>
              </w:rPr>
              <w:t>-</w:t>
            </w:r>
            <w:r>
              <w:rPr>
                <w:rFonts w:hint="eastAsia" w:ascii="仿宋" w:hAnsi="仿宋" w:eastAsia="仿宋"/>
                <w:sz w:val="24"/>
              </w:rPr>
              <w:t>20）分：服务方案或计划思路清晰，覆盖范围较为全面、合理，服务方案较为可行，对采购单位案件理解较为深刻；</w:t>
            </w:r>
          </w:p>
          <w:p>
            <w:pPr>
              <w:spacing w:line="380" w:lineRule="exact"/>
              <w:rPr>
                <w:rFonts w:ascii="仿宋" w:hAnsi="仿宋" w:eastAsia="仿宋"/>
                <w:sz w:val="24"/>
              </w:rPr>
            </w:pPr>
            <w:r>
              <w:rPr>
                <w:rFonts w:hint="eastAsia" w:ascii="仿宋" w:hAnsi="仿宋" w:eastAsia="仿宋"/>
                <w:sz w:val="24"/>
              </w:rPr>
              <w:t>第三个档次（6</w:t>
            </w:r>
            <w:r>
              <w:rPr>
                <w:rFonts w:ascii="仿宋" w:hAnsi="仿宋" w:eastAsia="仿宋"/>
                <w:sz w:val="24"/>
              </w:rPr>
              <w:t>-</w:t>
            </w:r>
            <w:r>
              <w:rPr>
                <w:rFonts w:hint="eastAsia" w:ascii="仿宋" w:hAnsi="仿宋" w:eastAsia="仿宋"/>
                <w:sz w:val="24"/>
              </w:rPr>
              <w:t>10）分：服务方案或计划基本全面、合理，服务方案基本可行，但缺乏针对性，对采购单位案件理解一般；</w:t>
            </w:r>
          </w:p>
          <w:p>
            <w:pPr>
              <w:spacing w:line="380" w:lineRule="exact"/>
              <w:rPr>
                <w:rFonts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5）分：服务方案或计划考虑不全面的，服务方案缺乏可行性，对采购单位案件不理解。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应急预案（满分5分）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第一档次：应急事件预案完整，方案科学、合理、可行，能够较好的应对突发事件，对本项目有较强的针对性的，得4－5分</w:t>
            </w:r>
          </w:p>
          <w:p>
            <w:pPr>
              <w:spacing w:line="380" w:lineRule="exact"/>
              <w:rPr>
                <w:rFonts w:ascii="仿宋" w:hAnsi="仿宋" w:eastAsia="仿宋"/>
                <w:sz w:val="24"/>
              </w:rPr>
            </w:pPr>
            <w:r>
              <w:rPr>
                <w:rFonts w:hint="eastAsia" w:ascii="仿宋" w:hAnsi="仿宋" w:eastAsia="仿宋"/>
                <w:sz w:val="24"/>
              </w:rPr>
              <w:t>第二档次：应急事件预案较为完整，方案合理、可行，能够应对突发事件，对本项目具有一定针对性的，得2－3分；</w:t>
            </w:r>
          </w:p>
          <w:p>
            <w:pPr>
              <w:spacing w:line="380" w:lineRule="exact"/>
              <w:rPr>
                <w:rFonts w:ascii="仿宋" w:hAnsi="仿宋" w:eastAsia="仿宋"/>
                <w:sz w:val="24"/>
              </w:rPr>
            </w:pPr>
            <w:r>
              <w:rPr>
                <w:rFonts w:hint="eastAsia" w:ascii="仿宋" w:hAnsi="仿宋" w:eastAsia="仿宋"/>
                <w:sz w:val="24"/>
              </w:rPr>
              <w:t>第三档次：应急事件预案不完整，存在一定遗漏，方案基本可行，能够应对突发事件，对本项目的针对性一般的，得1分。</w:t>
            </w:r>
          </w:p>
          <w:p>
            <w:pPr>
              <w:spacing w:line="380" w:lineRule="exact"/>
              <w:rPr>
                <w:rFonts w:ascii="仿宋" w:hAnsi="仿宋" w:eastAsia="仿宋"/>
                <w:sz w:val="24"/>
              </w:rPr>
            </w:pPr>
            <w:r>
              <w:rPr>
                <w:rFonts w:hint="eastAsia" w:ascii="仿宋" w:hAnsi="仿宋" w:eastAsia="仿宋"/>
                <w:sz w:val="24"/>
              </w:rPr>
              <w:t>注：无应急事件预案或应急事件预案存在不合理、不可行，不能够应对突发事件的情况，不得分。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项目组织机构</w:t>
            </w:r>
          </w:p>
          <w:p>
            <w:pPr>
              <w:spacing w:line="380" w:lineRule="exact"/>
              <w:jc w:val="center"/>
              <w:rPr>
                <w:rFonts w:hint="eastAsia" w:ascii="仿宋" w:hAnsi="仿宋" w:eastAsia="仿宋"/>
                <w:sz w:val="24"/>
              </w:rPr>
            </w:pPr>
            <w:r>
              <w:rPr>
                <w:rFonts w:hint="eastAsia" w:ascii="仿宋" w:hAnsi="仿宋" w:eastAsia="仿宋"/>
                <w:sz w:val="24"/>
              </w:rPr>
              <w:t>（满分15分）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第一个档次（</w:t>
            </w:r>
            <w:r>
              <w:rPr>
                <w:rFonts w:ascii="仿宋" w:hAnsi="仿宋" w:eastAsia="仿宋"/>
                <w:sz w:val="24"/>
              </w:rPr>
              <w:t>1</w:t>
            </w:r>
            <w:r>
              <w:rPr>
                <w:rFonts w:hint="eastAsia" w:ascii="仿宋" w:hAnsi="仿宋" w:eastAsia="仿宋"/>
                <w:sz w:val="24"/>
              </w:rPr>
              <w:t>1</w:t>
            </w:r>
            <w:r>
              <w:rPr>
                <w:rFonts w:ascii="仿宋" w:hAnsi="仿宋" w:eastAsia="仿宋"/>
                <w:sz w:val="24"/>
              </w:rPr>
              <w:t>-</w:t>
            </w:r>
            <w:r>
              <w:rPr>
                <w:rFonts w:hint="eastAsia" w:ascii="仿宋" w:hAnsi="仿宋" w:eastAsia="仿宋"/>
                <w:sz w:val="24"/>
              </w:rPr>
              <w:t>15）分：项目组织机构人员配置完善，针对性强，有科学严谨的管理程序，</w:t>
            </w:r>
            <w:r>
              <w:rPr>
                <w:rFonts w:hint="eastAsia" w:ascii="仿宋" w:hAnsi="仿宋" w:eastAsia="仿宋"/>
                <w:color w:val="FF0000"/>
                <w:sz w:val="24"/>
              </w:rPr>
              <w:t>要求</w:t>
            </w:r>
            <w:r>
              <w:rPr>
                <w:rFonts w:hint="eastAsia" w:ascii="仿宋" w:hAnsi="仿宋" w:eastAsia="仿宋"/>
                <w:color w:val="FF0000"/>
                <w:sz w:val="24"/>
                <w:lang w:val="en-US" w:eastAsia="zh-CN"/>
              </w:rPr>
              <w:t>服务</w:t>
            </w:r>
            <w:r>
              <w:rPr>
                <w:rFonts w:hint="eastAsia" w:ascii="仿宋" w:hAnsi="仿宋" w:eastAsia="仿宋"/>
                <w:color w:val="FF0000"/>
                <w:sz w:val="24"/>
              </w:rPr>
              <w:t>团队负责人具有</w:t>
            </w:r>
            <w:r>
              <w:rPr>
                <w:rFonts w:hint="eastAsia" w:ascii="仿宋" w:hAnsi="仿宋" w:eastAsia="仿宋"/>
                <w:color w:val="FF0000"/>
                <w:sz w:val="24"/>
                <w:lang w:val="en-US" w:eastAsia="zh-CN"/>
              </w:rPr>
              <w:t>会计师</w:t>
            </w:r>
            <w:r>
              <w:rPr>
                <w:rFonts w:hint="eastAsia" w:ascii="仿宋" w:hAnsi="仿宋" w:eastAsia="仿宋"/>
                <w:color w:val="FF0000"/>
                <w:sz w:val="24"/>
              </w:rPr>
              <w:t>执业资格证，有专业丰富的从业经验，拟派服务人员的专业配置合理齐全、人员素质高</w:t>
            </w:r>
            <w:r>
              <w:rPr>
                <w:rFonts w:hint="eastAsia" w:ascii="仿宋" w:hAnsi="仿宋" w:eastAsia="仿宋"/>
                <w:sz w:val="24"/>
              </w:rPr>
              <w:t>；</w:t>
            </w:r>
          </w:p>
          <w:p>
            <w:pPr>
              <w:spacing w:line="380" w:lineRule="exact"/>
              <w:rPr>
                <w:rFonts w:ascii="仿宋" w:hAnsi="仿宋" w:eastAsia="仿宋"/>
                <w:color w:val="FF0000"/>
                <w:sz w:val="24"/>
              </w:rPr>
            </w:pPr>
            <w:r>
              <w:rPr>
                <w:rFonts w:hint="eastAsia" w:ascii="仿宋" w:hAnsi="仿宋" w:eastAsia="仿宋"/>
                <w:sz w:val="24"/>
              </w:rPr>
              <w:t>第二个档次（7</w:t>
            </w:r>
            <w:r>
              <w:rPr>
                <w:rFonts w:ascii="仿宋" w:hAnsi="仿宋" w:eastAsia="仿宋"/>
                <w:sz w:val="24"/>
              </w:rPr>
              <w:t>-</w:t>
            </w:r>
            <w:r>
              <w:rPr>
                <w:rFonts w:hint="eastAsia" w:ascii="仿宋" w:hAnsi="仿宋" w:eastAsia="仿宋"/>
                <w:sz w:val="24"/>
              </w:rPr>
              <w:t>10）分：项目组织机构人员配置完善，有针对性，</w:t>
            </w:r>
            <w:r>
              <w:rPr>
                <w:rFonts w:hint="eastAsia" w:ascii="仿宋" w:hAnsi="仿宋" w:eastAsia="仿宋"/>
                <w:color w:val="FF0000"/>
                <w:sz w:val="24"/>
              </w:rPr>
              <w:t>要求</w:t>
            </w:r>
            <w:r>
              <w:rPr>
                <w:rFonts w:hint="eastAsia" w:ascii="仿宋" w:hAnsi="仿宋" w:eastAsia="仿宋"/>
                <w:color w:val="FF0000"/>
                <w:sz w:val="24"/>
                <w:lang w:val="en-US" w:eastAsia="zh-CN"/>
              </w:rPr>
              <w:t>服务师</w:t>
            </w:r>
            <w:r>
              <w:rPr>
                <w:rFonts w:hint="eastAsia" w:ascii="仿宋" w:hAnsi="仿宋" w:eastAsia="仿宋"/>
                <w:color w:val="FF0000"/>
                <w:sz w:val="24"/>
              </w:rPr>
              <w:t>团队负责人具有</w:t>
            </w:r>
            <w:r>
              <w:rPr>
                <w:rFonts w:hint="eastAsia" w:ascii="仿宋" w:hAnsi="仿宋" w:eastAsia="仿宋"/>
                <w:color w:val="FF0000"/>
                <w:sz w:val="24"/>
                <w:lang w:val="en-US" w:eastAsia="zh-CN"/>
              </w:rPr>
              <w:t>会计师</w:t>
            </w:r>
            <w:r>
              <w:rPr>
                <w:rFonts w:hint="eastAsia" w:ascii="仿宋" w:hAnsi="仿宋" w:eastAsia="仿宋"/>
                <w:color w:val="FF0000"/>
                <w:sz w:val="24"/>
              </w:rPr>
              <w:t>执业资格证，有专业丰富的从业经验；拟派服务人员的专业配置合理齐全、人员素质高；</w:t>
            </w:r>
          </w:p>
          <w:p>
            <w:pPr>
              <w:spacing w:line="380" w:lineRule="exact"/>
              <w:rPr>
                <w:rFonts w:ascii="仿宋" w:hAnsi="仿宋" w:eastAsia="仿宋"/>
                <w:sz w:val="24"/>
              </w:rPr>
            </w:pPr>
            <w:r>
              <w:rPr>
                <w:rFonts w:hint="eastAsia" w:ascii="仿宋" w:hAnsi="仿宋" w:eastAsia="仿宋"/>
                <w:sz w:val="24"/>
              </w:rPr>
              <w:t>第三个档次（3</w:t>
            </w:r>
            <w:r>
              <w:rPr>
                <w:rFonts w:ascii="仿宋" w:hAnsi="仿宋" w:eastAsia="仿宋"/>
                <w:sz w:val="24"/>
              </w:rPr>
              <w:t>-</w:t>
            </w:r>
            <w:r>
              <w:rPr>
                <w:rFonts w:hint="eastAsia" w:ascii="仿宋" w:hAnsi="仿宋" w:eastAsia="仿宋"/>
                <w:sz w:val="24"/>
              </w:rPr>
              <w:t>6）分：项目组织机构人员配置不完善，管</w:t>
            </w:r>
            <w:r>
              <w:rPr>
                <w:rFonts w:hint="eastAsia" w:ascii="仿宋" w:hAnsi="仿宋" w:eastAsia="仿宋"/>
                <w:color w:val="FF0000"/>
                <w:sz w:val="24"/>
              </w:rPr>
              <w:t>理程序不清晰，要求</w:t>
            </w:r>
            <w:r>
              <w:rPr>
                <w:rFonts w:hint="eastAsia" w:ascii="仿宋" w:hAnsi="仿宋" w:eastAsia="仿宋"/>
                <w:color w:val="FF0000"/>
                <w:sz w:val="24"/>
                <w:lang w:val="en-US" w:eastAsia="zh-CN"/>
              </w:rPr>
              <w:t>服务</w:t>
            </w:r>
            <w:r>
              <w:rPr>
                <w:rFonts w:hint="eastAsia" w:ascii="仿宋" w:hAnsi="仿宋" w:eastAsia="仿宋"/>
                <w:color w:val="FF0000"/>
                <w:sz w:val="24"/>
              </w:rPr>
              <w:t>团队负责人具有</w:t>
            </w:r>
            <w:r>
              <w:rPr>
                <w:rFonts w:hint="eastAsia" w:ascii="仿宋" w:hAnsi="仿宋" w:eastAsia="仿宋"/>
                <w:color w:val="FF0000"/>
                <w:sz w:val="24"/>
                <w:lang w:val="en-US" w:eastAsia="zh-CN"/>
              </w:rPr>
              <w:t>会计师</w:t>
            </w:r>
            <w:r>
              <w:rPr>
                <w:rFonts w:hint="eastAsia" w:ascii="仿宋" w:hAnsi="仿宋" w:eastAsia="仿宋"/>
                <w:color w:val="FF0000"/>
                <w:sz w:val="24"/>
              </w:rPr>
              <w:t>执业资格证，有专业丰富的从业经验；拟派服务人员的专业配置合理齐全、人员素质高；</w:t>
            </w:r>
          </w:p>
          <w:p>
            <w:pPr>
              <w:spacing w:line="380" w:lineRule="exact"/>
              <w:rPr>
                <w:rFonts w:hint="eastAsia"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2）分：拟派项目组织机构及技术力量较差。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restart"/>
            <w:shd w:val="clear" w:color="auto" w:fill="FFFFFF"/>
            <w:noWrap w:val="0"/>
            <w:vAlign w:val="center"/>
          </w:tcPr>
          <w:p>
            <w:pPr>
              <w:snapToGrid w:val="0"/>
              <w:spacing w:line="380" w:lineRule="exact"/>
              <w:jc w:val="center"/>
              <w:rPr>
                <w:rFonts w:hint="eastAsia" w:ascii="仿宋" w:hAnsi="仿宋" w:eastAsia="仿宋" w:cs="宋体"/>
                <w:sz w:val="24"/>
              </w:rPr>
            </w:pPr>
            <w:r>
              <w:rPr>
                <w:rFonts w:hint="eastAsia" w:ascii="仿宋" w:hAnsi="仿宋" w:eastAsia="仿宋" w:cs="宋体"/>
                <w:sz w:val="24"/>
              </w:rPr>
              <w:t>4</w:t>
            </w:r>
          </w:p>
        </w:tc>
        <w:tc>
          <w:tcPr>
            <w:tcW w:w="1248" w:type="dxa"/>
            <w:vMerge w:val="restart"/>
            <w:shd w:val="clear" w:color="auto" w:fill="FFFFFF"/>
            <w:noWrap w:val="0"/>
            <w:vAlign w:val="center"/>
          </w:tcPr>
          <w:p>
            <w:pPr>
              <w:snapToGrid w:val="0"/>
              <w:spacing w:line="380" w:lineRule="exact"/>
              <w:jc w:val="center"/>
              <w:rPr>
                <w:rFonts w:hint="eastAsia" w:ascii="仿宋" w:hAnsi="仿宋" w:eastAsia="仿宋"/>
                <w:sz w:val="24"/>
              </w:rPr>
            </w:pPr>
            <w:r>
              <w:rPr>
                <w:rFonts w:hint="eastAsia" w:ascii="仿宋" w:hAnsi="仿宋" w:eastAsia="仿宋"/>
                <w:sz w:val="24"/>
              </w:rPr>
              <w:t>商务部分评分F3</w:t>
            </w:r>
          </w:p>
        </w:tc>
        <w:tc>
          <w:tcPr>
            <w:tcW w:w="853" w:type="dxa"/>
            <w:vMerge w:val="restart"/>
            <w:shd w:val="clear" w:color="auto" w:fill="FFFFFF"/>
            <w:noWrap w:val="0"/>
            <w:vAlign w:val="center"/>
          </w:tcPr>
          <w:p>
            <w:pPr>
              <w:spacing w:line="380" w:lineRule="exact"/>
              <w:jc w:val="center"/>
              <w:rPr>
                <w:rFonts w:hint="eastAsia" w:ascii="仿宋" w:hAnsi="仿宋" w:eastAsia="仿宋" w:cs="宋体"/>
                <w:sz w:val="24"/>
              </w:rPr>
            </w:pPr>
            <w:r>
              <w:rPr>
                <w:rFonts w:hint="eastAsia" w:ascii="仿宋" w:hAnsi="仿宋" w:eastAsia="仿宋" w:cs="宋体"/>
                <w:sz w:val="24"/>
              </w:rPr>
              <w:t>满分30</w:t>
            </w:r>
            <w:r>
              <w:rPr>
                <w:rFonts w:ascii="仿宋" w:hAnsi="仿宋" w:eastAsia="仿宋" w:cs="宋体"/>
                <w:sz w:val="24"/>
              </w:rPr>
              <w:t>分</w:t>
            </w: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服务承诺及保证措施（满分20分）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第一个档次（16</w:t>
            </w:r>
            <w:r>
              <w:rPr>
                <w:rFonts w:ascii="仿宋" w:hAnsi="仿宋" w:eastAsia="仿宋"/>
                <w:sz w:val="24"/>
              </w:rPr>
              <w:t>-</w:t>
            </w:r>
            <w:r>
              <w:rPr>
                <w:rFonts w:hint="eastAsia" w:ascii="仿宋" w:hAnsi="仿宋" w:eastAsia="仿宋"/>
                <w:sz w:val="24"/>
              </w:rPr>
              <w:t>20）分：服务承诺及保证措施完善具体，针对性强，有具体可操作的违约责任惩罚承诺；</w:t>
            </w:r>
          </w:p>
          <w:p>
            <w:pPr>
              <w:spacing w:line="380" w:lineRule="exact"/>
              <w:rPr>
                <w:rFonts w:ascii="仿宋" w:hAnsi="仿宋" w:eastAsia="仿宋"/>
                <w:sz w:val="24"/>
              </w:rPr>
            </w:pPr>
            <w:r>
              <w:rPr>
                <w:rFonts w:hint="eastAsia" w:ascii="仿宋" w:hAnsi="仿宋" w:eastAsia="仿宋"/>
                <w:sz w:val="24"/>
              </w:rPr>
              <w:t>第二个档次（11</w:t>
            </w:r>
            <w:r>
              <w:rPr>
                <w:rFonts w:ascii="仿宋" w:hAnsi="仿宋" w:eastAsia="仿宋"/>
                <w:sz w:val="24"/>
              </w:rPr>
              <w:t>-</w:t>
            </w:r>
            <w:r>
              <w:rPr>
                <w:rFonts w:hint="eastAsia" w:ascii="仿宋" w:hAnsi="仿宋" w:eastAsia="仿宋"/>
                <w:sz w:val="24"/>
              </w:rPr>
              <w:t>15）分：服务承诺及保证措施具体可行，有违约责任惩罚承诺，有一定的针对性；</w:t>
            </w:r>
          </w:p>
          <w:p>
            <w:pPr>
              <w:spacing w:line="380" w:lineRule="exact"/>
              <w:rPr>
                <w:rFonts w:ascii="仿宋" w:hAnsi="仿宋" w:eastAsia="仿宋"/>
                <w:sz w:val="24"/>
              </w:rPr>
            </w:pPr>
            <w:r>
              <w:rPr>
                <w:rFonts w:hint="eastAsia" w:ascii="仿宋" w:hAnsi="仿宋" w:eastAsia="仿宋"/>
                <w:sz w:val="24"/>
              </w:rPr>
              <w:t>第三个档次（6</w:t>
            </w:r>
            <w:r>
              <w:rPr>
                <w:rFonts w:ascii="仿宋" w:hAnsi="仿宋" w:eastAsia="仿宋"/>
                <w:sz w:val="24"/>
              </w:rPr>
              <w:t>-</w:t>
            </w:r>
            <w:r>
              <w:rPr>
                <w:rFonts w:hint="eastAsia" w:ascii="仿宋" w:hAnsi="仿宋" w:eastAsia="仿宋"/>
                <w:sz w:val="24"/>
              </w:rPr>
              <w:t>10）分：服务承诺及保证措施基本可行，但缺乏针对性，无违约责任惩罚承诺；</w:t>
            </w:r>
          </w:p>
          <w:p>
            <w:pPr>
              <w:spacing w:line="380" w:lineRule="exact"/>
              <w:rPr>
                <w:rFonts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5）分：服务承诺及保证措施可行性较差。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类似业绩（满分10分）</w:t>
            </w:r>
          </w:p>
        </w:tc>
        <w:tc>
          <w:tcPr>
            <w:tcW w:w="4675" w:type="dxa"/>
            <w:shd w:val="clear" w:color="auto" w:fill="FFFFFF"/>
            <w:noWrap w:val="0"/>
            <w:vAlign w:val="center"/>
          </w:tcPr>
          <w:p>
            <w:pPr>
              <w:spacing w:line="380" w:lineRule="exact"/>
              <w:rPr>
                <w:rFonts w:hint="eastAsia" w:ascii="仿宋" w:hAnsi="仿宋" w:eastAsia="仿宋"/>
                <w:sz w:val="24"/>
                <w:lang w:val="zh-CN"/>
              </w:rPr>
            </w:pPr>
            <w:r>
              <w:rPr>
                <w:rFonts w:hint="eastAsia" w:ascii="仿宋" w:hAnsi="仿宋" w:eastAsia="仿宋"/>
                <w:sz w:val="24"/>
                <w:lang w:val="zh-CN"/>
              </w:rPr>
              <w:t>202</w:t>
            </w:r>
            <w:r>
              <w:rPr>
                <w:rFonts w:hint="eastAsia" w:ascii="仿宋" w:hAnsi="仿宋" w:eastAsia="仿宋"/>
                <w:sz w:val="24"/>
                <w:lang w:val="en-US" w:eastAsia="zh-CN"/>
              </w:rPr>
              <w:t>1</w:t>
            </w:r>
            <w:r>
              <w:rPr>
                <w:rFonts w:hint="eastAsia" w:ascii="仿宋" w:hAnsi="仿宋" w:eastAsia="仿宋"/>
                <w:sz w:val="24"/>
                <w:lang w:val="zh-CN"/>
              </w:rPr>
              <w:t>年至今完成的类似业绩，每提供1个得</w:t>
            </w:r>
            <w:r>
              <w:rPr>
                <w:rFonts w:hint="eastAsia" w:ascii="仿宋" w:hAnsi="仿宋" w:eastAsia="仿宋"/>
                <w:sz w:val="24"/>
              </w:rPr>
              <w:t>1</w:t>
            </w:r>
            <w:r>
              <w:rPr>
                <w:rFonts w:hint="eastAsia" w:ascii="仿宋" w:hAnsi="仿宋" w:eastAsia="仿宋"/>
                <w:sz w:val="24"/>
                <w:lang w:val="zh-CN"/>
              </w:rPr>
              <w:t>分，最多</w:t>
            </w:r>
            <w:r>
              <w:rPr>
                <w:rFonts w:hint="eastAsia" w:ascii="仿宋" w:hAnsi="仿宋" w:eastAsia="仿宋"/>
                <w:sz w:val="24"/>
              </w:rPr>
              <w:t>10</w:t>
            </w:r>
            <w:r>
              <w:rPr>
                <w:rFonts w:hint="eastAsia" w:ascii="仿宋" w:hAnsi="仿宋" w:eastAsia="仿宋"/>
                <w:sz w:val="24"/>
                <w:lang w:val="zh-CN"/>
              </w:rPr>
              <w:t>分。</w:t>
            </w:r>
          </w:p>
          <w:p>
            <w:pPr>
              <w:spacing w:line="380" w:lineRule="exact"/>
              <w:rPr>
                <w:rFonts w:ascii="仿宋" w:hAnsi="仿宋" w:eastAsia="仿宋"/>
                <w:sz w:val="24"/>
              </w:rPr>
            </w:pPr>
            <w:r>
              <w:rPr>
                <w:rFonts w:hint="eastAsia" w:ascii="仿宋" w:hAnsi="仿宋" w:eastAsia="仿宋"/>
                <w:sz w:val="24"/>
              </w:rPr>
              <w:t>注：</w:t>
            </w:r>
            <w:r>
              <w:rPr>
                <w:rFonts w:hint="eastAsia" w:ascii="仿宋" w:hAnsi="仿宋" w:eastAsia="仿宋"/>
                <w:sz w:val="24"/>
                <w:lang w:eastAsia="zh-CN"/>
              </w:rPr>
              <w:t>投标</w:t>
            </w:r>
            <w:r>
              <w:rPr>
                <w:rFonts w:hint="eastAsia" w:ascii="仿宋" w:hAnsi="仿宋" w:eastAsia="仿宋"/>
                <w:sz w:val="24"/>
              </w:rPr>
              <w:t>响应文件中须提供业绩列表及相对应的业绩证明材料，业绩证明材料为中标通知书或合同（合同首页、标的及金额所在页及合同签字盖章页的扫描件加盖公章）。无证明材料或证明材料不明确、无法体现业绩内容的，不予认可。</w:t>
            </w:r>
          </w:p>
        </w:tc>
      </w:tr>
    </w:tbl>
    <w:p/>
    <w:sectPr>
      <w:pgSz w:w="16838" w:h="11906" w:orient="landscape"/>
      <w:pgMar w:top="960" w:right="1135" w:bottom="1286"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C6F2C"/>
    <w:multiLevelType w:val="singleLevel"/>
    <w:tmpl w:val="EFCC6F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MjE0ODJhNmY5ODYyMmZhNDZhM2U4MjNhNTVkZDg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1FC6F78"/>
    <w:rsid w:val="02671BD1"/>
    <w:rsid w:val="051F124A"/>
    <w:rsid w:val="082E06EA"/>
    <w:rsid w:val="09B63FBB"/>
    <w:rsid w:val="0EB60A64"/>
    <w:rsid w:val="0F905827"/>
    <w:rsid w:val="10131AF0"/>
    <w:rsid w:val="10703BAD"/>
    <w:rsid w:val="13E34A71"/>
    <w:rsid w:val="16827436"/>
    <w:rsid w:val="1A6972D5"/>
    <w:rsid w:val="1CBB2AE0"/>
    <w:rsid w:val="1DC207D0"/>
    <w:rsid w:val="28E405BA"/>
    <w:rsid w:val="2CA5035E"/>
    <w:rsid w:val="2FAB58C1"/>
    <w:rsid w:val="30836EFC"/>
    <w:rsid w:val="31DB6AA8"/>
    <w:rsid w:val="3EBD4FE1"/>
    <w:rsid w:val="3F043BAC"/>
    <w:rsid w:val="432D0D9F"/>
    <w:rsid w:val="4A415589"/>
    <w:rsid w:val="50752C09"/>
    <w:rsid w:val="58696D22"/>
    <w:rsid w:val="58EE7E2E"/>
    <w:rsid w:val="61AF3F2A"/>
    <w:rsid w:val="64681653"/>
    <w:rsid w:val="6566591D"/>
    <w:rsid w:val="673C4D73"/>
    <w:rsid w:val="68B70748"/>
    <w:rsid w:val="6B072EF1"/>
    <w:rsid w:val="6BAF2AF9"/>
    <w:rsid w:val="6F0C7DA2"/>
    <w:rsid w:val="6F230C4F"/>
    <w:rsid w:val="78F54B33"/>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 w:type="character" w:customStyle="1" w:styleId="13">
    <w:name w:val="font51"/>
    <w:basedOn w:val="5"/>
    <w:qFormat/>
    <w:uiPriority w:val="0"/>
    <w:rPr>
      <w:rFonts w:hint="eastAsia" w:ascii="宋体" w:hAnsi="宋体" w:eastAsia="宋体" w:cs="宋体"/>
      <w:color w:val="000000"/>
      <w:sz w:val="20"/>
      <w:szCs w:val="20"/>
      <w:u w:val="none"/>
    </w:rPr>
  </w:style>
  <w:style w:type="character" w:customStyle="1" w:styleId="14">
    <w:name w:val="font21"/>
    <w:basedOn w:val="5"/>
    <w:qFormat/>
    <w:uiPriority w:val="0"/>
    <w:rPr>
      <w:rFonts w:hint="default" w:ascii="Times New Roman" w:hAnsi="Times New Roman" w:cs="Times New Roman"/>
      <w:color w:val="000000"/>
      <w:sz w:val="20"/>
      <w:szCs w:val="20"/>
      <w:u w:val="none"/>
    </w:rPr>
  </w:style>
  <w:style w:type="paragraph" w:customStyle="1" w:styleId="1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2323</Words>
  <Characters>2443</Characters>
  <Lines>3</Lines>
  <Paragraphs>1</Paragraphs>
  <TotalTime>32</TotalTime>
  <ScaleCrop>false</ScaleCrop>
  <LinksUpToDate>false</LinksUpToDate>
  <CharactersWithSpaces>2580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静</cp:lastModifiedBy>
  <dcterms:modified xsi:type="dcterms:W3CDTF">2024-06-24T09:24:44Z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CC5DFEB4889B4E04AC3FB8356E612DAD_13</vt:lpwstr>
  </property>
</Properties>
</file>