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left="0" w:firstLine="0" w:firstLineChars="0"/>
        <w:jc w:val="center"/>
        <w:textAlignment w:val="auto"/>
        <w:rPr>
          <w:rFonts w:hint="eastAsia" w:ascii="仿宋" w:hAnsi="仿宋" w:eastAsia="仿宋"/>
          <w:b/>
          <w:sz w:val="44"/>
          <w:szCs w:val="44"/>
        </w:rPr>
      </w:pPr>
      <w:r>
        <w:rPr>
          <w:rFonts w:hint="eastAsia" w:ascii="仿宋" w:hAnsi="仿宋" w:eastAsia="仿宋"/>
          <w:b/>
          <w:sz w:val="44"/>
          <w:szCs w:val="44"/>
        </w:rPr>
        <w:t>报价一览表</w:t>
      </w:r>
    </w:p>
    <w:p>
      <w:pPr>
        <w:pStyle w:val="6"/>
        <w:spacing w:line="560" w:lineRule="exact"/>
        <w:ind w:firstLine="0" w:firstLineChars="0"/>
        <w:rPr>
          <w:rFonts w:hint="default" w:ascii="仿宋" w:hAnsi="仿宋" w:eastAsia="仿宋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z w:val="32"/>
          <w:szCs w:val="32"/>
        </w:rPr>
        <w:t>客户名称：云南省寄生虫病防治所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 xml:space="preserve">            项目名称：登革热病毒感染病例代谢产物检测服务采购</w:t>
      </w:r>
    </w:p>
    <w:p>
      <w:pPr>
        <w:pStyle w:val="6"/>
        <w:spacing w:line="560" w:lineRule="exact"/>
        <w:ind w:firstLine="0" w:firstLineChars="0"/>
        <w:rPr>
          <w:rFonts w:hint="default" w:ascii="仿宋" w:hAnsi="仿宋" w:eastAsia="仿宋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项目编号：寄采申（2023）51号</w:t>
      </w:r>
    </w:p>
    <w:tbl>
      <w:tblPr>
        <w:tblStyle w:val="4"/>
        <w:tblpPr w:leftFromText="180" w:rightFromText="180" w:vertAnchor="text" w:horzAnchor="page" w:tblpX="1151" w:tblpY="404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4"/>
        <w:gridCol w:w="2375"/>
        <w:gridCol w:w="6013"/>
        <w:gridCol w:w="730"/>
        <w:gridCol w:w="998"/>
        <w:gridCol w:w="1281"/>
        <w:gridCol w:w="1098"/>
        <w:gridCol w:w="111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4" w:type="dxa"/>
            <w:shd w:val="clear" w:color="auto" w:fill="auto"/>
            <w:vAlign w:val="center"/>
          </w:tcPr>
          <w:p>
            <w:pPr>
              <w:pStyle w:val="6"/>
              <w:spacing w:line="560" w:lineRule="exact"/>
              <w:ind w:firstLine="0" w:firstLineChars="0"/>
              <w:jc w:val="center"/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序号</w:t>
            </w:r>
          </w:p>
        </w:tc>
        <w:tc>
          <w:tcPr>
            <w:tcW w:w="2375" w:type="dxa"/>
            <w:shd w:val="clear" w:color="auto" w:fill="auto"/>
            <w:vAlign w:val="center"/>
          </w:tcPr>
          <w:p>
            <w:pPr>
              <w:pStyle w:val="6"/>
              <w:spacing w:line="560" w:lineRule="exact"/>
              <w:ind w:firstLine="0" w:firstLineChars="0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项目名称</w:t>
            </w:r>
          </w:p>
        </w:tc>
        <w:tc>
          <w:tcPr>
            <w:tcW w:w="6013" w:type="dxa"/>
            <w:shd w:val="clear" w:color="auto" w:fill="auto"/>
            <w:vAlign w:val="center"/>
          </w:tcPr>
          <w:p>
            <w:pPr>
              <w:pStyle w:val="6"/>
              <w:spacing w:line="560" w:lineRule="exact"/>
              <w:ind w:firstLine="0" w:firstLineChars="0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报价规格参数</w:t>
            </w:r>
          </w:p>
        </w:tc>
        <w:tc>
          <w:tcPr>
            <w:tcW w:w="730" w:type="dxa"/>
            <w:shd w:val="clear" w:color="auto" w:fill="auto"/>
            <w:vAlign w:val="center"/>
          </w:tcPr>
          <w:p>
            <w:pPr>
              <w:pStyle w:val="6"/>
              <w:spacing w:line="560" w:lineRule="exact"/>
              <w:ind w:firstLine="0" w:firstLineChars="0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数量</w:t>
            </w:r>
          </w:p>
        </w:tc>
        <w:tc>
          <w:tcPr>
            <w:tcW w:w="998" w:type="dxa"/>
            <w:shd w:val="clear" w:color="auto" w:fill="auto"/>
            <w:vAlign w:val="center"/>
          </w:tcPr>
          <w:p>
            <w:pPr>
              <w:pStyle w:val="6"/>
              <w:spacing w:line="560" w:lineRule="exact"/>
              <w:ind w:firstLine="0" w:firstLineChars="0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单位</w:t>
            </w:r>
          </w:p>
        </w:tc>
        <w:tc>
          <w:tcPr>
            <w:tcW w:w="1281" w:type="dxa"/>
            <w:shd w:val="clear" w:color="auto" w:fill="auto"/>
            <w:vAlign w:val="center"/>
          </w:tcPr>
          <w:p>
            <w:pPr>
              <w:pStyle w:val="6"/>
              <w:spacing w:line="560" w:lineRule="exact"/>
              <w:ind w:firstLine="0" w:firstLineChars="0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报价品牌</w:t>
            </w:r>
          </w:p>
        </w:tc>
        <w:tc>
          <w:tcPr>
            <w:tcW w:w="1098" w:type="dxa"/>
            <w:shd w:val="clear" w:color="auto" w:fill="auto"/>
            <w:vAlign w:val="center"/>
          </w:tcPr>
          <w:p>
            <w:pPr>
              <w:pStyle w:val="6"/>
              <w:spacing w:line="560" w:lineRule="exact"/>
              <w:ind w:firstLine="0" w:firstLineChars="0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单价</w:t>
            </w:r>
          </w:p>
        </w:tc>
        <w:tc>
          <w:tcPr>
            <w:tcW w:w="1114" w:type="dxa"/>
            <w:shd w:val="clear" w:color="auto" w:fill="auto"/>
            <w:vAlign w:val="center"/>
          </w:tcPr>
          <w:p>
            <w:pPr>
              <w:pStyle w:val="6"/>
              <w:spacing w:line="560" w:lineRule="exact"/>
              <w:ind w:firstLine="0" w:firstLineChars="0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总价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2" w:hRule="atLeast"/>
        </w:trPr>
        <w:tc>
          <w:tcPr>
            <w:tcW w:w="86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37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全谱代谢产物相对定量检测与分析服务</w:t>
            </w:r>
          </w:p>
        </w:tc>
        <w:tc>
          <w:tcPr>
            <w:tcW w:w="601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1.*检测内容：全谱代谢组相对定量检测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提供基于高效液相色谱质谱的代谢组学科研服务，为建立感染性疾病相关早期诊断及预后效果相关的诊断模型，发现和筛选潜在的生物标志物提供基础数据。包含非靶代谢组和非靶脂质代谢组两部分。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1.1非靶向代谢组：检测氨基酸类，核酸类，有机酸类，类固醇类及其各类的衍生物等基础小分子代谢物，包括3万 + 标准品数据库和100万 + 高质量二级谱图，均由高分辨质谱完成采集，包含多浓度、多能级等不同条件下采集的谱图，经过噪音过滤、低质量图谱过滤、人工信息确认等操作，全方位保证谱图高质量。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1.2非靶向脂质相对定量代谢组：检测脂肪酸类（如亚油酸、花生酸类）、甘油脂类（如TG、DG类）、甘油磷脂类（如PC、PE、PG、PA等）、鞘脂类（如Cer、SM等）、固醇脂类（如固醇脂类）、糖脂类（如MGDG、SQDG等）、孕烯醇酮脂类（如CoA等）、多聚乙烯类（抗生素等）八大类脂质。采用lipidsearch数据库, 包含8大类、300种亚类、170万种脂质分子的MS2 &amp; MS3数据库,确保全面检测样本中的脂质分子。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2.质控标准：具备实验结果多重质控标准（空白质控；QC质控；内标质控），包括QC样本的TIC重叠图谱，PCA分析，相关性分析，Hotelling T2等分析内容，客观全面的对数据质量进行评价（需提供证明材料）。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3.*数据分析：具备专门的生物信息学团队负责数据分析，具备个性化生信研发实力（需提供证明材料）。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4.平台要求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4.1*非靶向代谢组相对定量检测：采用超高效液相色谱质谱联用系统，色谱仪采用超高效液相色谱，分离采用多种色谱柱，有ACQUITY UPLC HSS T3色谱柱、ACQUITY BEH Amide色谱柱、HILIC色谱柱等（优先选择适合的色谱柱）；质谱采用AB SCEIX TripleTOF 6600超高灵敏度四级杆-飞行时间质谱系统，离子源为电喷雾（正负离子模式）。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4.2*非靶向脂质组学相对定量检测：采用基于高分辨率质谱系统的非靶向脂质组学分析平台，液相色谱平台使用高分辨率超高效液相色谱，C18色谱柱上进行分离, 正负离子同时采集, 同时结合质谱分析软件进行脂质鉴定与数据预处理。质谱分析软件能够实现原始数据处理、峰提取、脂质鉴定、峰对齐、和定量等的一体化分析。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5.*非靶向代谢组数据采集：采用 4 步过滤法，保证代谢物鉴定结果的可靠性，符合国际公认的 Metabolomics Standards Initiative（MSI）定义的可靠度标准。保留高 Similarity Score（Similarity score&gt;0.8 ）的谱图匹配结果，严格控制待定性的谱图与标准品谱图的相似度，定性的代谢物可提供二级谱图匹配的结果。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定性数量：符合质控要求的平均定性数量不低于800个代谢物。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6.*非靶向脂质组数据采集：采用高分辨率质谱仪进行峰识别、峰提取、峰对齐、脂质鉴定（二级鉴定）、定量等处理。主要参数为：precursor tolerance: 5 ppm，product tolerance: 5 ppm, product ion threshold: 5%。提取得到的数据，删除RSD&gt;20%的脂质分子。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定性数量：符合质控要求的平均定性数量不低于1500个代谢物。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7.*数据分析结果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7.1鉴定结果：鉴定结果统计与分析：代谢物鉴定数量统计和代谢物化学分类归属统计。交付形式：图加表。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7.2组间差异分析：单变量统计分析（t-test、火山图），多维统计分析（主成分PCA分析、正交偏最小二乘法判别OPLS-DA分析等）。交付形式图加表。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7.3差异代谢物生物信息学分析：差异倍数分析（蝴蝶图），聚类分析（聚类树、聚类热图），相关性分析（热图、和弦图、网络图），KEGG通路注释与分析（通路图、热图、气泡图、柱状图、差异丰度得分图等）。交付形式图加表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8.*交付周期：样本检测周期：≤3周；数据分析：≤2周。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9.*售后服务：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9.1数据验收合格后，至少提供2年内的售后服务；能7*24小时处理客户问题，全国范围内有相应的销售与技术，免费进行疑难问题解答，对数据分析结果进行指导，并通过上门、往来信函、电话、传真、电子邮件等形式，解答用户在使用中碰到的各种技术问题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9.2提供技术培训及咨询服务，免费进行一次组学分析培训。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9.3按要求提供分辨率和大小合格的图表。</w:t>
            </w:r>
          </w:p>
        </w:tc>
        <w:tc>
          <w:tcPr>
            <w:tcW w:w="73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</w:t>
            </w:r>
          </w:p>
        </w:tc>
        <w:tc>
          <w:tcPr>
            <w:tcW w:w="99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次</w:t>
            </w:r>
          </w:p>
        </w:tc>
        <w:tc>
          <w:tcPr>
            <w:tcW w:w="128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850</w:t>
            </w:r>
          </w:p>
        </w:tc>
        <w:tc>
          <w:tcPr>
            <w:tcW w:w="109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49300</w:t>
            </w:r>
          </w:p>
        </w:tc>
        <w:tc>
          <w:tcPr>
            <w:tcW w:w="111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4" w:type="dxa"/>
            <w:shd w:val="clear" w:color="auto" w:fill="auto"/>
          </w:tcPr>
          <w:p>
            <w:pPr>
              <w:pStyle w:val="6"/>
              <w:spacing w:line="560" w:lineRule="exact"/>
              <w:ind w:firstLine="0" w:firstLineChars="0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2375" w:type="dxa"/>
            <w:shd w:val="clear" w:color="auto" w:fill="auto"/>
          </w:tcPr>
          <w:p>
            <w:pPr>
              <w:pStyle w:val="6"/>
              <w:spacing w:line="560" w:lineRule="exact"/>
              <w:ind w:firstLine="0" w:firstLineChars="0"/>
              <w:jc w:val="center"/>
              <w:rPr>
                <w:rFonts w:ascii="仿宋" w:hAnsi="仿宋" w:eastAsia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bCs/>
                <w:sz w:val="28"/>
                <w:szCs w:val="28"/>
              </w:rPr>
              <w:t>合计</w:t>
            </w:r>
          </w:p>
        </w:tc>
        <w:tc>
          <w:tcPr>
            <w:tcW w:w="9022" w:type="dxa"/>
            <w:gridSpan w:val="4"/>
            <w:shd w:val="clear" w:color="auto" w:fill="auto"/>
          </w:tcPr>
          <w:p>
            <w:pPr>
              <w:pStyle w:val="6"/>
              <w:spacing w:line="560" w:lineRule="exact"/>
              <w:ind w:firstLine="0" w:firstLineChars="0"/>
              <w:rPr>
                <w:rFonts w:hint="eastAsia" w:ascii="仿宋" w:hAnsi="仿宋" w:eastAsia="仿宋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bCs/>
                <w:sz w:val="28"/>
                <w:szCs w:val="28"/>
              </w:rPr>
              <w:t>大写：</w:t>
            </w:r>
            <w:r>
              <w:rPr>
                <w:rFonts w:hint="eastAsia" w:ascii="仿宋" w:hAnsi="仿宋" w:eastAsia="仿宋"/>
                <w:b/>
                <w:bCs/>
                <w:sz w:val="28"/>
                <w:szCs w:val="28"/>
                <w:lang w:val="en-US" w:eastAsia="zh-CN"/>
              </w:rPr>
              <w:t>肆万玖仟叁佰元整</w:t>
            </w:r>
          </w:p>
        </w:tc>
        <w:tc>
          <w:tcPr>
            <w:tcW w:w="2212" w:type="dxa"/>
            <w:gridSpan w:val="2"/>
            <w:shd w:val="clear" w:color="auto" w:fill="auto"/>
          </w:tcPr>
          <w:p>
            <w:pPr>
              <w:pStyle w:val="6"/>
              <w:spacing w:line="560" w:lineRule="exact"/>
              <w:ind w:firstLine="0" w:firstLineChars="0"/>
              <w:rPr>
                <w:rFonts w:hint="default" w:ascii="仿宋" w:hAnsi="仿宋" w:eastAsia="仿宋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bCs/>
                <w:sz w:val="28"/>
                <w:szCs w:val="28"/>
              </w:rPr>
              <w:t>小写：</w:t>
            </w:r>
            <w:r>
              <w:rPr>
                <w:rFonts w:hint="eastAsia" w:ascii="仿宋" w:hAnsi="仿宋" w:eastAsia="仿宋"/>
                <w:b/>
                <w:bCs/>
                <w:sz w:val="28"/>
                <w:szCs w:val="28"/>
                <w:lang w:val="en-US" w:eastAsia="zh-CN"/>
              </w:rPr>
              <w:t>49300.00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4" w:type="dxa"/>
            <w:shd w:val="clear" w:color="auto" w:fill="auto"/>
          </w:tcPr>
          <w:p>
            <w:pPr>
              <w:pStyle w:val="6"/>
              <w:spacing w:line="560" w:lineRule="exact"/>
              <w:ind w:firstLine="0" w:firstLineChars="0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13609" w:type="dxa"/>
            <w:gridSpan w:val="7"/>
            <w:shd w:val="clear" w:color="auto" w:fill="auto"/>
          </w:tcPr>
          <w:p>
            <w:pPr>
              <w:pStyle w:val="6"/>
              <w:spacing w:line="560" w:lineRule="exact"/>
              <w:ind w:firstLine="0" w:firstLineChars="0"/>
              <w:rPr>
                <w:rFonts w:ascii="仿宋" w:hAnsi="仿宋" w:eastAsia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bCs/>
                <w:sz w:val="28"/>
                <w:szCs w:val="28"/>
              </w:rPr>
              <w:t>供货期：</w:t>
            </w:r>
          </w:p>
        </w:tc>
      </w:tr>
    </w:tbl>
    <w:p>
      <w:pPr>
        <w:pStyle w:val="6"/>
        <w:spacing w:line="560" w:lineRule="exact"/>
        <w:ind w:firstLine="0" w:firstLineChars="0"/>
        <w:rPr>
          <w:rFonts w:hint="eastAsia" w:ascii="仿宋" w:hAnsi="仿宋" w:eastAsia="仿宋"/>
          <w:sz w:val="28"/>
          <w:szCs w:val="28"/>
        </w:rPr>
      </w:pPr>
    </w:p>
    <w:p>
      <w:pPr>
        <w:pStyle w:val="6"/>
        <w:spacing w:line="560" w:lineRule="exact"/>
        <w:ind w:firstLine="0" w:firstLineChars="0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经办人签字：</w:t>
      </w:r>
      <w:bookmarkStart w:id="0" w:name="_GoBack"/>
      <w:bookmarkEnd w:id="0"/>
    </w:p>
    <w:p>
      <w:pPr>
        <w:pStyle w:val="6"/>
        <w:spacing w:line="560" w:lineRule="exact"/>
        <w:ind w:firstLine="0" w:firstLineChars="0"/>
        <w:rPr>
          <w:rFonts w:hint="eastAsia" w:ascii="仿宋" w:hAnsi="仿宋" w:eastAsia="仿宋"/>
          <w:sz w:val="28"/>
          <w:szCs w:val="28"/>
        </w:rPr>
      </w:pPr>
    </w:p>
    <w:p>
      <w:pPr>
        <w:pStyle w:val="6"/>
        <w:spacing w:line="560" w:lineRule="exact"/>
        <w:ind w:firstLine="0" w:firstLineChars="0"/>
      </w:pPr>
      <w:r>
        <w:rPr>
          <w:rFonts w:hint="eastAsia" w:ascii="仿宋" w:hAnsi="仿宋" w:eastAsia="仿宋"/>
          <w:sz w:val="28"/>
          <w:szCs w:val="28"/>
        </w:rPr>
        <w:t xml:space="preserve">供应商名称（公章）：          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 xml:space="preserve">                   报  价  </w:t>
      </w:r>
      <w:r>
        <w:rPr>
          <w:rFonts w:hint="eastAsia" w:ascii="仿宋" w:hAnsi="仿宋" w:eastAsia="仿宋"/>
          <w:sz w:val="28"/>
          <w:szCs w:val="28"/>
        </w:rPr>
        <w:t>日  期：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 xml:space="preserve">     年    月    日  </w:t>
      </w:r>
    </w:p>
    <w:sectPr>
      <w:pgSz w:w="16838" w:h="11906" w:orient="landscape"/>
      <w:pgMar w:top="960" w:right="1135" w:bottom="1286" w:left="1446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VmOWEwNjdmMTEwYWY5YjdlMDJkMzI1MzZhNmZmZTUifQ=="/>
  </w:docVars>
  <w:rsids>
    <w:rsidRoot w:val="004949BD"/>
    <w:rsid w:val="00331557"/>
    <w:rsid w:val="00347909"/>
    <w:rsid w:val="004949BD"/>
    <w:rsid w:val="004E6197"/>
    <w:rsid w:val="005A2281"/>
    <w:rsid w:val="005A65D4"/>
    <w:rsid w:val="008612E0"/>
    <w:rsid w:val="008D625D"/>
    <w:rsid w:val="009520A9"/>
    <w:rsid w:val="00A64C82"/>
    <w:rsid w:val="00C20B63"/>
    <w:rsid w:val="00C20CA8"/>
    <w:rsid w:val="00D23AD7"/>
    <w:rsid w:val="00EC40AB"/>
    <w:rsid w:val="00EC74FA"/>
    <w:rsid w:val="02671BD1"/>
    <w:rsid w:val="082E06EA"/>
    <w:rsid w:val="0EB60A64"/>
    <w:rsid w:val="0F905827"/>
    <w:rsid w:val="10131AF0"/>
    <w:rsid w:val="13E34A71"/>
    <w:rsid w:val="16827436"/>
    <w:rsid w:val="1CBB2AE0"/>
    <w:rsid w:val="1DC207D0"/>
    <w:rsid w:val="28E405BA"/>
    <w:rsid w:val="2FEC59BC"/>
    <w:rsid w:val="30836EFC"/>
    <w:rsid w:val="31DB6AA8"/>
    <w:rsid w:val="36AB6305"/>
    <w:rsid w:val="3D605787"/>
    <w:rsid w:val="3E1F0B6E"/>
    <w:rsid w:val="3EBD4FE1"/>
    <w:rsid w:val="3F043BAC"/>
    <w:rsid w:val="412E7026"/>
    <w:rsid w:val="432D0D9F"/>
    <w:rsid w:val="4A415589"/>
    <w:rsid w:val="4C8E0848"/>
    <w:rsid w:val="58EE7E2E"/>
    <w:rsid w:val="61AF3F2A"/>
    <w:rsid w:val="64681653"/>
    <w:rsid w:val="6566591D"/>
    <w:rsid w:val="673C4D73"/>
    <w:rsid w:val="68B70748"/>
    <w:rsid w:val="6EFF1481"/>
    <w:rsid w:val="6F0C7DA2"/>
    <w:rsid w:val="6F230C4F"/>
    <w:rsid w:val="715B51AB"/>
    <w:rsid w:val="78F54B33"/>
    <w:rsid w:val="7EF009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等线" w:hAnsi="等线" w:eastAsia="等线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List Paragraph"/>
    <w:basedOn w:val="1"/>
    <w:qFormat/>
    <w:uiPriority w:val="34"/>
    <w:pPr>
      <w:ind w:firstLine="420" w:firstLineChars="200"/>
    </w:pPr>
  </w:style>
  <w:style w:type="character" w:customStyle="1" w:styleId="7">
    <w:name w:val="页眉 Char"/>
    <w:basedOn w:val="5"/>
    <w:link w:val="3"/>
    <w:qFormat/>
    <w:uiPriority w:val="99"/>
    <w:rPr>
      <w:rFonts w:ascii="等线" w:hAnsi="等线" w:eastAsia="等线" w:cs="Times New Roman"/>
      <w:sz w:val="18"/>
      <w:szCs w:val="18"/>
    </w:rPr>
  </w:style>
  <w:style w:type="character" w:customStyle="1" w:styleId="8">
    <w:name w:val="页脚 Char"/>
    <w:basedOn w:val="5"/>
    <w:link w:val="2"/>
    <w:qFormat/>
    <w:uiPriority w:val="99"/>
    <w:rPr>
      <w:rFonts w:ascii="等线" w:hAnsi="等线" w:eastAsia="等线" w:cs="Times New Roman"/>
      <w:sz w:val="18"/>
      <w:szCs w:val="18"/>
    </w:rPr>
  </w:style>
  <w:style w:type="character" w:customStyle="1" w:styleId="9">
    <w:name w:val="font31"/>
    <w:basedOn w:val="5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10">
    <w:name w:val="font61"/>
    <w:basedOn w:val="5"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  <w:style w:type="character" w:customStyle="1" w:styleId="11">
    <w:name w:val="font41"/>
    <w:basedOn w:val="5"/>
    <w:qFormat/>
    <w:uiPriority w:val="0"/>
    <w:rPr>
      <w:rFonts w:hint="default" w:ascii="Times New Roman" w:hAnsi="Times New Roman" w:cs="Times New Roman"/>
      <w:color w:val="000000"/>
      <w:sz w:val="18"/>
      <w:szCs w:val="18"/>
      <w:u w:val="none"/>
    </w:rPr>
  </w:style>
  <w:style w:type="character" w:customStyle="1" w:styleId="12">
    <w:name w:val="font81"/>
    <w:basedOn w:val="5"/>
    <w:qFormat/>
    <w:uiPriority w:val="0"/>
    <w:rPr>
      <w:rFonts w:hint="default" w:ascii="Times New Roman" w:hAnsi="Times New Roman" w:cs="Times New Roman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264</Words>
  <Characters>278</Characters>
  <Lines>3</Lines>
  <Paragraphs>1</Paragraphs>
  <TotalTime>0</TotalTime>
  <ScaleCrop>false</ScaleCrop>
  <LinksUpToDate>false</LinksUpToDate>
  <CharactersWithSpaces>344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2021-10-27T07:02:00Z</dcterms:created>
  <dc:creator>Windows 用户</dc:creator>
  <cp:lastModifiedBy>刘远飞</cp:lastModifiedBy>
  <dcterms:modified xsi:type="dcterms:W3CDTF">2023-06-08T09:02:31Z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B6272305FA8243F8A15E12120CF932F4</vt:lpwstr>
  </property>
</Properties>
</file>