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ind w:firstLine="0" w:firstLineChars="0"/>
        <w:jc w:val="center"/>
        <w:rPr>
          <w:rFonts w:ascii="仿宋" w:hAnsi="仿宋" w:eastAsia="仿宋"/>
          <w:b/>
          <w:sz w:val="44"/>
          <w:szCs w:val="44"/>
        </w:rPr>
      </w:pPr>
      <w:r>
        <w:rPr>
          <w:rFonts w:hint="eastAsia" w:ascii="仿宋" w:hAnsi="仿宋" w:eastAsia="仿宋"/>
          <w:b/>
          <w:sz w:val="44"/>
          <w:szCs w:val="44"/>
        </w:rPr>
        <w:t>报价一览表</w:t>
      </w:r>
    </w:p>
    <w:p>
      <w:pPr>
        <w:pStyle w:val="6"/>
        <w:spacing w:line="560" w:lineRule="exact"/>
        <w:ind w:firstLine="0" w:firstLineChars="0"/>
        <w:rPr>
          <w:rFonts w:ascii="仿宋" w:hAnsi="仿宋" w:eastAsia="仿宋"/>
          <w:sz w:val="32"/>
          <w:szCs w:val="32"/>
        </w:rPr>
      </w:pPr>
      <w:r>
        <w:rPr>
          <w:rFonts w:hint="eastAsia" w:ascii="仿宋" w:hAnsi="仿宋" w:eastAsia="仿宋"/>
          <w:sz w:val="32"/>
          <w:szCs w:val="32"/>
        </w:rPr>
        <w:t>客户名称：云南省寄生虫病防治所      项目名称：2022年医废和危化品委托处置采购</w:t>
      </w:r>
    </w:p>
    <w:p>
      <w:pPr>
        <w:pStyle w:val="6"/>
        <w:spacing w:line="560" w:lineRule="exact"/>
        <w:ind w:firstLine="0" w:firstLineChars="0"/>
        <w:rPr>
          <w:rFonts w:hint="eastAsia" w:ascii="仿宋" w:hAnsi="仿宋" w:eastAsia="仿宋"/>
          <w:sz w:val="32"/>
          <w:szCs w:val="32"/>
        </w:rPr>
      </w:pPr>
      <w:r>
        <w:rPr>
          <w:rFonts w:hint="eastAsia" w:ascii="仿宋" w:hAnsi="仿宋" w:eastAsia="仿宋"/>
          <w:sz w:val="32"/>
          <w:szCs w:val="32"/>
        </w:rPr>
        <w:t>项目编号：寄采申（2022）</w:t>
      </w:r>
      <w:r>
        <w:rPr>
          <w:rFonts w:hint="eastAsia" w:ascii="仿宋" w:hAnsi="仿宋" w:eastAsia="仿宋"/>
          <w:sz w:val="32"/>
          <w:szCs w:val="32"/>
          <w:lang w:val="en-US" w:eastAsia="zh-CN"/>
        </w:rPr>
        <w:t>103</w:t>
      </w:r>
      <w:r>
        <w:rPr>
          <w:rFonts w:hint="eastAsia" w:ascii="仿宋" w:hAnsi="仿宋" w:eastAsia="仿宋"/>
          <w:sz w:val="32"/>
          <w:szCs w:val="32"/>
        </w:rPr>
        <w:t>号</w:t>
      </w:r>
    </w:p>
    <w:tbl>
      <w:tblPr>
        <w:tblStyle w:val="4"/>
        <w:tblpPr w:leftFromText="180" w:rightFromText="180" w:vertAnchor="text" w:horzAnchor="page" w:tblpX="1151" w:tblpY="404"/>
        <w:tblOverlap w:val="never"/>
        <w:tblW w:w="14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42"/>
        <w:gridCol w:w="7565"/>
        <w:gridCol w:w="816"/>
        <w:gridCol w:w="853"/>
        <w:gridCol w:w="985"/>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序号</w:t>
            </w:r>
          </w:p>
        </w:tc>
        <w:tc>
          <w:tcPr>
            <w:tcW w:w="2142"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7565"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816"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853"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985"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单价</w:t>
            </w:r>
          </w:p>
        </w:tc>
        <w:tc>
          <w:tcPr>
            <w:tcW w:w="1443"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142" w:type="dxa"/>
            <w:shd w:val="clear" w:color="auto" w:fill="auto"/>
            <w:vAlign w:val="center"/>
          </w:tcPr>
          <w:p>
            <w:pPr>
              <w:keepNext w:val="0"/>
              <w:keepLines w:val="0"/>
              <w:widowControl/>
              <w:suppressLineNumbers w:val="0"/>
              <w:jc w:val="left"/>
              <w:textAlignment w:val="center"/>
              <w:rPr>
                <w:rFonts w:ascii="宋体" w:hAnsi="宋体" w:eastAsia="宋体" w:cs="宋体"/>
                <w:sz w:val="22"/>
              </w:rPr>
            </w:pPr>
            <w:r>
              <w:rPr>
                <w:rFonts w:hint="eastAsia" w:ascii="宋体" w:hAnsi="宋体" w:eastAsia="宋体" w:cs="宋体"/>
                <w:i w:val="0"/>
                <w:iCs w:val="0"/>
                <w:color w:val="000000"/>
                <w:kern w:val="0"/>
                <w:sz w:val="24"/>
                <w:szCs w:val="24"/>
                <w:u w:val="none"/>
                <w:lang w:val="en-US" w:eastAsia="zh-CN" w:bidi="ar"/>
              </w:rPr>
              <w:t>委托具备资质第三方对我所储存逾10年及以上或已过期的一般危化品进行处置</w:t>
            </w:r>
          </w:p>
        </w:tc>
        <w:tc>
          <w:tcPr>
            <w:tcW w:w="7565" w:type="dxa"/>
            <w:shd w:val="clear" w:color="auto" w:fill="auto"/>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2"/>
                <w:szCs w:val="22"/>
                <w:u w:val="none"/>
                <w:lang w:val="en-US" w:eastAsia="zh-CN" w:bidi="ar"/>
              </w:rPr>
              <w:t>处置公司需持有效期内的以下资质：1、道路运输经营许可证，经营范围必须包含但不限于医疗废物、危险废物；2、危险废物经营许可证，校准经营危险废物类别必须包含但不限于国家危险废物名录规定的废物类别HW49、HW34、HW18、HW06、HW02。3、营业执照，经营范围必须包括但不限于危险废物治理、固体废物治理；其他危险物治理；危险货物道路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家危险废物名录900-999-94，被所有者申报废弃的，或未申报废弃但被非法排放、倾倒、利用、处置的，以及有关部门依法收缴或接收且需要销毁的列入《危险化学品目录》的危险化学品（不含该目录中仅具有“加压气体”物理危险性的危险化学品）,包括一般化学危险品和不明化学危险品。危险特性包括T、C、I、R。详细品目见附件：拟处置危化品和易制毒试剂表。</w:t>
            </w:r>
            <w:bookmarkStart w:id="0" w:name="_GoBack"/>
            <w:bookmarkEnd w:id="0"/>
          </w:p>
        </w:tc>
        <w:tc>
          <w:tcPr>
            <w:tcW w:w="816" w:type="dxa"/>
            <w:shd w:val="clear" w:color="auto" w:fill="auto"/>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51</w:t>
            </w:r>
          </w:p>
        </w:tc>
        <w:tc>
          <w:tcPr>
            <w:tcW w:w="853" w:type="dxa"/>
            <w:shd w:val="clear" w:color="auto" w:fill="auto"/>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kg</w:t>
            </w:r>
          </w:p>
        </w:tc>
        <w:tc>
          <w:tcPr>
            <w:tcW w:w="985" w:type="dxa"/>
            <w:shd w:val="clear" w:color="auto" w:fill="auto"/>
          </w:tcPr>
          <w:p>
            <w:pPr>
              <w:pStyle w:val="6"/>
              <w:spacing w:line="560" w:lineRule="exact"/>
              <w:ind w:firstLine="0" w:firstLineChars="0"/>
              <w:rPr>
                <w:rFonts w:ascii="仿宋" w:hAnsi="仿宋" w:eastAsia="仿宋"/>
                <w:sz w:val="28"/>
                <w:szCs w:val="28"/>
              </w:rPr>
            </w:pPr>
          </w:p>
        </w:tc>
        <w:tc>
          <w:tcPr>
            <w:tcW w:w="1443" w:type="dxa"/>
            <w:shd w:val="clear" w:color="auto" w:fill="auto"/>
          </w:tcPr>
          <w:p>
            <w:pPr>
              <w:pStyle w:val="6"/>
              <w:spacing w:line="560" w:lineRule="exact"/>
              <w:ind w:firstLine="0" w:firstLineChars="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2142" w:type="dxa"/>
            <w:shd w:val="clear" w:color="auto" w:fill="auto"/>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iCs w:val="0"/>
                <w:color w:val="000000"/>
                <w:kern w:val="0"/>
                <w:sz w:val="24"/>
                <w:szCs w:val="24"/>
                <w:u w:val="none"/>
                <w:lang w:val="en-US" w:eastAsia="zh-CN" w:bidi="ar"/>
              </w:rPr>
              <w:t>委托具备资质第三方对我所储存逾10年及以上的易制毒危化品进行处置</w:t>
            </w:r>
          </w:p>
        </w:tc>
        <w:tc>
          <w:tcPr>
            <w:tcW w:w="7565" w:type="dxa"/>
            <w:shd w:val="clear" w:color="auto" w:fill="auto"/>
            <w:vAlign w:val="center"/>
          </w:tcPr>
          <w:p>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2"/>
                <w:szCs w:val="22"/>
                <w:u w:val="none"/>
                <w:lang w:val="en-US" w:eastAsia="zh-CN" w:bidi="ar"/>
              </w:rPr>
              <w:t>处置公司需持有效期内的以下资质：1、道路运输经营许可证，经营范围必须包含但不限于医疗废物、危险废物；2、危险废物经营许可证，校准经营危险废物类别必须包含但不限于国家危险废物名录规定的废物类别HW49、HW34、HW18、HW06、HW02。3、营业执照，经营范围必须包括但不限于危险废物治理、固体废物治理；其他危险物治理；危险货物道路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家危险废物名录900-047-49，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危险特性包括T、In。国家危险废物名录900-300-34用酸进行清洗产生的废酸液,危险特性包括T、C。详细品目见附件：拟处置危化品和易制毒试剂表。</w:t>
            </w:r>
          </w:p>
        </w:tc>
        <w:tc>
          <w:tcPr>
            <w:tcW w:w="816" w:type="dxa"/>
            <w:shd w:val="clear" w:color="auto" w:fill="auto"/>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20</w:t>
            </w:r>
          </w:p>
        </w:tc>
        <w:tc>
          <w:tcPr>
            <w:tcW w:w="853" w:type="dxa"/>
            <w:shd w:val="clear" w:color="auto" w:fill="auto"/>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kg</w:t>
            </w:r>
          </w:p>
        </w:tc>
        <w:tc>
          <w:tcPr>
            <w:tcW w:w="985" w:type="dxa"/>
            <w:shd w:val="clear" w:color="auto" w:fill="auto"/>
          </w:tcPr>
          <w:p>
            <w:pPr>
              <w:pStyle w:val="6"/>
              <w:spacing w:line="560" w:lineRule="exact"/>
              <w:ind w:firstLine="0" w:firstLineChars="0"/>
              <w:rPr>
                <w:rFonts w:ascii="仿宋" w:hAnsi="仿宋" w:eastAsia="仿宋"/>
                <w:sz w:val="28"/>
                <w:szCs w:val="28"/>
              </w:rPr>
            </w:pPr>
          </w:p>
        </w:tc>
        <w:tc>
          <w:tcPr>
            <w:tcW w:w="1443" w:type="dxa"/>
            <w:shd w:val="clear" w:color="auto" w:fill="auto"/>
          </w:tcPr>
          <w:p>
            <w:pPr>
              <w:pStyle w:val="6"/>
              <w:spacing w:line="560" w:lineRule="exact"/>
              <w:ind w:firstLine="0" w:firstLineChars="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2142" w:type="dxa"/>
            <w:shd w:val="clear" w:color="auto" w:fill="auto"/>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iCs w:val="0"/>
                <w:color w:val="000000"/>
                <w:kern w:val="0"/>
                <w:sz w:val="24"/>
                <w:szCs w:val="24"/>
                <w:u w:val="none"/>
                <w:lang w:val="en-US" w:eastAsia="zh-CN" w:bidi="ar"/>
              </w:rPr>
              <w:t>委托具备资质第三方对我所置换的高效过滤器及过期医废进行处置</w:t>
            </w:r>
          </w:p>
        </w:tc>
        <w:tc>
          <w:tcPr>
            <w:tcW w:w="7565" w:type="dxa"/>
            <w:shd w:val="clear" w:color="auto" w:fill="auto"/>
            <w:vAlign w:val="center"/>
          </w:tcPr>
          <w:p>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22"/>
                <w:szCs w:val="22"/>
                <w:u w:val="none"/>
                <w:lang w:val="en-US" w:eastAsia="zh-CN" w:bidi="ar"/>
              </w:rPr>
              <w:t>处置公司需持有效期内的以下资质：1、道路运输经营许可证，经营范围必须包含但不限于医疗废物、危险废物；2、危险废物经营许可证，校准经营危险废物类别必须包含但不限于国家危险废物名录规定的废物类别HW49、HW34、HW18、HW06、HW02。3、营业执照，经营范围必须包括但不限于危险废物治理、固体废物治理；其他危险物治理；危险货物道路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国家危险废物名录900-041-49，含有或沾染毒性、感染性危险废物的废弃包装物、容器、过滤吸附介质。危险特性包括T、In。详细品目见附件：拟处置危化品和易制毒试剂表。</w:t>
            </w:r>
          </w:p>
        </w:tc>
        <w:tc>
          <w:tcPr>
            <w:tcW w:w="816" w:type="dxa"/>
            <w:shd w:val="clear" w:color="auto" w:fill="auto"/>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10</w:t>
            </w:r>
          </w:p>
        </w:tc>
        <w:tc>
          <w:tcPr>
            <w:tcW w:w="853" w:type="dxa"/>
            <w:shd w:val="clear" w:color="auto" w:fill="auto"/>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kg</w:t>
            </w:r>
          </w:p>
        </w:tc>
        <w:tc>
          <w:tcPr>
            <w:tcW w:w="985" w:type="dxa"/>
            <w:shd w:val="clear" w:color="auto" w:fill="auto"/>
          </w:tcPr>
          <w:p>
            <w:pPr>
              <w:pStyle w:val="6"/>
              <w:spacing w:line="560" w:lineRule="exact"/>
              <w:ind w:firstLine="0" w:firstLineChars="0"/>
              <w:rPr>
                <w:rFonts w:ascii="仿宋" w:hAnsi="仿宋" w:eastAsia="仿宋"/>
                <w:sz w:val="28"/>
                <w:szCs w:val="28"/>
              </w:rPr>
            </w:pPr>
          </w:p>
        </w:tc>
        <w:tc>
          <w:tcPr>
            <w:tcW w:w="1443" w:type="dxa"/>
            <w:shd w:val="clear" w:color="auto" w:fill="auto"/>
          </w:tcPr>
          <w:p>
            <w:pPr>
              <w:pStyle w:val="6"/>
              <w:spacing w:line="560" w:lineRule="exact"/>
              <w:ind w:firstLine="0" w:firstLineChars="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006"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合计（大写）</w:t>
            </w:r>
          </w:p>
        </w:tc>
        <w:tc>
          <w:tcPr>
            <w:tcW w:w="75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69"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合计（小写）</w:t>
            </w:r>
          </w:p>
        </w:tc>
        <w:tc>
          <w:tcPr>
            <w:tcW w:w="2428" w:type="dxa"/>
            <w:gridSpan w:val="2"/>
            <w:shd w:val="clear" w:color="auto" w:fill="auto"/>
          </w:tcPr>
          <w:p>
            <w:pPr>
              <w:pStyle w:val="6"/>
              <w:spacing w:line="560" w:lineRule="exact"/>
              <w:ind w:firstLine="0" w:firstLineChars="0"/>
              <w:rPr>
                <w:rFonts w:ascii="仿宋" w:hAnsi="仿宋" w:eastAsia="仿宋"/>
                <w:sz w:val="28"/>
                <w:szCs w:val="28"/>
              </w:rPr>
            </w:pPr>
          </w:p>
        </w:tc>
      </w:tr>
    </w:tbl>
    <w:p>
      <w:pPr>
        <w:pStyle w:val="6"/>
        <w:spacing w:line="560" w:lineRule="exact"/>
        <w:ind w:firstLine="0" w:firstLineChars="0"/>
        <w:rPr>
          <w:rFonts w:hint="eastAsia" w:ascii="仿宋" w:hAnsi="仿宋" w:eastAsia="仿宋"/>
          <w:sz w:val="28"/>
          <w:szCs w:val="28"/>
        </w:rPr>
      </w:pPr>
      <w:r>
        <w:rPr>
          <w:rFonts w:hint="eastAsia" w:ascii="仿宋" w:hAnsi="仿宋" w:eastAsia="仿宋"/>
          <w:sz w:val="28"/>
          <w:szCs w:val="28"/>
        </w:rPr>
        <w:t>经办人签字：</w:t>
      </w:r>
    </w:p>
    <w:p>
      <w:pPr>
        <w:pStyle w:val="6"/>
        <w:spacing w:line="560" w:lineRule="exact"/>
        <w:ind w:firstLine="0" w:firstLineChars="0"/>
        <w:rPr>
          <w:rFonts w:hint="eastAsia" w:ascii="仿宋" w:hAnsi="仿宋" w:eastAsia="仿宋"/>
          <w:sz w:val="28"/>
          <w:szCs w:val="28"/>
        </w:rPr>
      </w:pPr>
    </w:p>
    <w:p>
      <w:pPr>
        <w:pStyle w:val="6"/>
        <w:spacing w:line="560" w:lineRule="exact"/>
        <w:ind w:firstLine="0" w:firstLineChars="0"/>
      </w:pPr>
      <w:r>
        <w:rPr>
          <w:rFonts w:hint="eastAsia" w:ascii="仿宋" w:hAnsi="仿宋" w:eastAsia="仿宋"/>
          <w:sz w:val="28"/>
          <w:szCs w:val="28"/>
        </w:rPr>
        <w:t xml:space="preserve">供应商名称（公章）：                             报  价  日  期：     年    月    日  </w:t>
      </w:r>
    </w:p>
    <w:sectPr>
      <w:pgSz w:w="16838" w:h="11906" w:orient="landscape"/>
      <w:pgMar w:top="960" w:right="1135" w:bottom="1286"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4949BD"/>
    <w:rsid w:val="0029380F"/>
    <w:rsid w:val="002B1375"/>
    <w:rsid w:val="00331557"/>
    <w:rsid w:val="00347909"/>
    <w:rsid w:val="004111E2"/>
    <w:rsid w:val="00436DA9"/>
    <w:rsid w:val="004949BD"/>
    <w:rsid w:val="004B1F73"/>
    <w:rsid w:val="004E6197"/>
    <w:rsid w:val="005A2281"/>
    <w:rsid w:val="005A65D4"/>
    <w:rsid w:val="008612E0"/>
    <w:rsid w:val="008D625D"/>
    <w:rsid w:val="009520A9"/>
    <w:rsid w:val="009C0D64"/>
    <w:rsid w:val="00A64C82"/>
    <w:rsid w:val="00AA794B"/>
    <w:rsid w:val="00C20B63"/>
    <w:rsid w:val="00C20CA8"/>
    <w:rsid w:val="00D23AD7"/>
    <w:rsid w:val="00EC40AB"/>
    <w:rsid w:val="00EC74FA"/>
    <w:rsid w:val="00FD2E29"/>
    <w:rsid w:val="02671BD1"/>
    <w:rsid w:val="03852189"/>
    <w:rsid w:val="05210A5A"/>
    <w:rsid w:val="05FD2B10"/>
    <w:rsid w:val="082E06EA"/>
    <w:rsid w:val="0EB60A64"/>
    <w:rsid w:val="0F905827"/>
    <w:rsid w:val="16827436"/>
    <w:rsid w:val="17F35ADC"/>
    <w:rsid w:val="1CBB2AE0"/>
    <w:rsid w:val="1DC207D0"/>
    <w:rsid w:val="227B5090"/>
    <w:rsid w:val="28E405BA"/>
    <w:rsid w:val="2919115F"/>
    <w:rsid w:val="30836EFC"/>
    <w:rsid w:val="31DB6AA8"/>
    <w:rsid w:val="36EF3EC1"/>
    <w:rsid w:val="3EBD4FE1"/>
    <w:rsid w:val="3F043BAC"/>
    <w:rsid w:val="432D0D9F"/>
    <w:rsid w:val="49BE4B5E"/>
    <w:rsid w:val="4A415589"/>
    <w:rsid w:val="4D977474"/>
    <w:rsid w:val="58EE7E2E"/>
    <w:rsid w:val="61AF3F2A"/>
    <w:rsid w:val="6566591D"/>
    <w:rsid w:val="65867AC2"/>
    <w:rsid w:val="673C4D73"/>
    <w:rsid w:val="68B70748"/>
    <w:rsid w:val="6F0C7DA2"/>
    <w:rsid w:val="6F230C4F"/>
    <w:rsid w:val="78F54B33"/>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 w:type="character" w:customStyle="1" w:styleId="13">
    <w:name w:val="font5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1194</Words>
  <Characters>1293</Characters>
  <Lines>3</Lines>
  <Paragraphs>1</Paragraphs>
  <TotalTime>8</TotalTime>
  <ScaleCrop>false</ScaleCrop>
  <LinksUpToDate>false</LinksUpToDate>
  <CharactersWithSpaces>1349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HP-004</cp:lastModifiedBy>
  <dcterms:modified xsi:type="dcterms:W3CDTF">2022-09-23T03:05:31Z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B6272305FA8243F8A15E12120CF932F4</vt:lpwstr>
  </property>
</Properties>
</file>